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6A" w:rsidRPr="003C0161" w:rsidRDefault="0068276A" w:rsidP="00F73A22">
      <w:pPr>
        <w:jc w:val="both"/>
        <w:rPr>
          <w:b/>
          <w:u w:val="single"/>
        </w:rPr>
      </w:pPr>
      <w:r w:rsidRPr="003C0161">
        <w:rPr>
          <w:b/>
          <w:u w:val="single"/>
        </w:rPr>
        <w:t>Bard</w:t>
      </w:r>
      <w:r w:rsidR="008030D3">
        <w:rPr>
          <w:b/>
          <w:u w:val="single"/>
        </w:rPr>
        <w:t>s</w:t>
      </w:r>
      <w:r w:rsidRPr="003C0161">
        <w:rPr>
          <w:b/>
          <w:u w:val="single"/>
        </w:rPr>
        <w:t>ey Neighbourhood Plan</w:t>
      </w:r>
    </w:p>
    <w:p w:rsidR="00F9580D" w:rsidRPr="003C0161" w:rsidRDefault="0068276A" w:rsidP="00F73A22">
      <w:pPr>
        <w:jc w:val="both"/>
        <w:rPr>
          <w:b/>
          <w:u w:val="single"/>
        </w:rPr>
      </w:pPr>
      <w:r w:rsidRPr="003C0161">
        <w:rPr>
          <w:b/>
          <w:u w:val="single"/>
        </w:rPr>
        <w:t>Brief notes of meeting with Ian M</w:t>
      </w:r>
      <w:r w:rsidR="009E1156">
        <w:rPr>
          <w:b/>
          <w:u w:val="single"/>
        </w:rPr>
        <w:t>ack</w:t>
      </w:r>
      <w:r w:rsidRPr="003C0161">
        <w:rPr>
          <w:b/>
          <w:u w:val="single"/>
        </w:rPr>
        <w:t xml:space="preserve">ay </w:t>
      </w:r>
      <w:r w:rsidR="009E1156">
        <w:rPr>
          <w:b/>
          <w:u w:val="single"/>
        </w:rPr>
        <w:t xml:space="preserve">(IM) </w:t>
      </w:r>
      <w:r w:rsidRPr="003C0161">
        <w:rPr>
          <w:b/>
          <w:u w:val="single"/>
        </w:rPr>
        <w:t>24</w:t>
      </w:r>
      <w:r w:rsidRPr="003C0161">
        <w:rPr>
          <w:b/>
          <w:u w:val="single"/>
          <w:vertAlign w:val="superscript"/>
        </w:rPr>
        <w:t>th</w:t>
      </w:r>
      <w:r w:rsidRPr="003C0161">
        <w:rPr>
          <w:b/>
          <w:u w:val="single"/>
        </w:rPr>
        <w:t xml:space="preserve"> July 5pm at Leonardo Building</w:t>
      </w:r>
    </w:p>
    <w:p w:rsidR="00D16A2B" w:rsidRPr="00AB6E72" w:rsidRDefault="0029101A" w:rsidP="00F73A22">
      <w:pPr>
        <w:jc w:val="both"/>
        <w:rPr>
          <w:b/>
        </w:rPr>
      </w:pPr>
      <w:r w:rsidRPr="00AB6E72">
        <w:rPr>
          <w:b/>
          <w:u w:val="single"/>
        </w:rPr>
        <w:t>Present</w:t>
      </w:r>
      <w:r w:rsidR="00D16A2B" w:rsidRPr="00AB6E72">
        <w:rPr>
          <w:b/>
          <w:u w:val="single"/>
        </w:rPr>
        <w:t>:</w:t>
      </w:r>
      <w:r w:rsidR="00D16A2B" w:rsidRPr="00AB6E72">
        <w:rPr>
          <w:b/>
        </w:rPr>
        <w:tab/>
        <w:t>For LCC:</w:t>
      </w:r>
      <w:r w:rsidRPr="00AB6E72">
        <w:rPr>
          <w:b/>
        </w:rPr>
        <w:t xml:space="preserve"> IM</w:t>
      </w:r>
    </w:p>
    <w:p w:rsidR="0068276A" w:rsidRPr="00AB6E72" w:rsidRDefault="00D16A2B" w:rsidP="00F73A22">
      <w:pPr>
        <w:ind w:left="720" w:firstLine="720"/>
        <w:jc w:val="both"/>
        <w:rPr>
          <w:b/>
        </w:rPr>
      </w:pPr>
      <w:r w:rsidRPr="00AB6E72">
        <w:rPr>
          <w:b/>
        </w:rPr>
        <w:t>For BSC: IF</w:t>
      </w:r>
      <w:r w:rsidR="0068276A" w:rsidRPr="00AB6E72">
        <w:rPr>
          <w:b/>
        </w:rPr>
        <w:t>/CS/JC/LB</w:t>
      </w:r>
    </w:p>
    <w:p w:rsidR="00826670" w:rsidRPr="00823E28" w:rsidRDefault="00826670" w:rsidP="00F73A22">
      <w:pPr>
        <w:pStyle w:val="ListParagraph"/>
        <w:numPr>
          <w:ilvl w:val="0"/>
          <w:numId w:val="2"/>
        </w:numPr>
        <w:jc w:val="both"/>
      </w:pPr>
      <w:r>
        <w:rPr>
          <w:b/>
        </w:rPr>
        <w:t>Neighbourhood Planning Update</w:t>
      </w:r>
    </w:p>
    <w:p w:rsidR="00826670" w:rsidRPr="00823E28" w:rsidRDefault="00826670" w:rsidP="00F73A22">
      <w:pPr>
        <w:pStyle w:val="ListParagraph"/>
        <w:jc w:val="both"/>
      </w:pPr>
    </w:p>
    <w:p w:rsidR="00826670" w:rsidRDefault="00823E28" w:rsidP="00F73A22">
      <w:pPr>
        <w:pStyle w:val="ListParagraph"/>
        <w:numPr>
          <w:ilvl w:val="1"/>
          <w:numId w:val="2"/>
        </w:numPr>
        <w:jc w:val="both"/>
      </w:pPr>
      <w:r w:rsidRPr="00823E28">
        <w:t xml:space="preserve">IM mentioned a number of </w:t>
      </w:r>
      <w:r>
        <w:t xml:space="preserve">general points pertinent to neighbourhood planning and LCC’s </w:t>
      </w:r>
      <w:r w:rsidR="0029101A">
        <w:t>evolving approach</w:t>
      </w:r>
      <w:r>
        <w:t xml:space="preserve"> </w:t>
      </w:r>
      <w:r w:rsidR="0029101A">
        <w:t>to</w:t>
      </w:r>
      <w:r>
        <w:t xml:space="preserve"> the process</w:t>
      </w:r>
      <w:r w:rsidR="00F24CEF">
        <w:t>;</w:t>
      </w:r>
      <w:r>
        <w:t xml:space="preserve"> </w:t>
      </w:r>
      <w:r w:rsidR="0029101A">
        <w:t xml:space="preserve">clearly </w:t>
      </w:r>
      <w:r>
        <w:t>the result of events both nationally and locally. The following are important to note:</w:t>
      </w:r>
    </w:p>
    <w:p w:rsidR="00E71DE4" w:rsidRDefault="00E71DE4" w:rsidP="00F73A22">
      <w:pPr>
        <w:pStyle w:val="ListParagraph"/>
        <w:numPr>
          <w:ilvl w:val="2"/>
          <w:numId w:val="2"/>
        </w:numPr>
        <w:jc w:val="both"/>
      </w:pPr>
      <w:r>
        <w:t>LCC has pr</w:t>
      </w:r>
      <w:r w:rsidR="009368C9">
        <w:t xml:space="preserve">epared a key </w:t>
      </w:r>
      <w:r w:rsidR="004731AA">
        <w:t>issues</w:t>
      </w:r>
      <w:r w:rsidR="009368C9">
        <w:t xml:space="preserve"> summary</w:t>
      </w:r>
      <w:r w:rsidR="004731AA">
        <w:t xml:space="preserve"> </w:t>
      </w:r>
      <w:r w:rsidR="009368C9">
        <w:t xml:space="preserve">for most </w:t>
      </w:r>
      <w:r w:rsidR="004731AA">
        <w:t>of</w:t>
      </w:r>
      <w:r w:rsidR="009368C9">
        <w:t xml:space="preserve"> the neighbourhood plans</w:t>
      </w:r>
      <w:r w:rsidR="004731AA">
        <w:t xml:space="preserve"> </w:t>
      </w:r>
      <w:r w:rsidR="009368C9">
        <w:t>that have progressed to examination to date. This will be on the Council’s website shortly.</w:t>
      </w:r>
    </w:p>
    <w:p w:rsidR="001E4C68" w:rsidRDefault="001E4C68" w:rsidP="00F73A22">
      <w:pPr>
        <w:pStyle w:val="ListParagraph"/>
        <w:numPr>
          <w:ilvl w:val="2"/>
          <w:numId w:val="2"/>
        </w:numPr>
        <w:jc w:val="both"/>
      </w:pPr>
      <w:r>
        <w:t xml:space="preserve">Inspectors and unitary authorities </w:t>
      </w:r>
      <w:r w:rsidR="00E870F6">
        <w:t xml:space="preserve">are </w:t>
      </w:r>
      <w:r w:rsidR="0029101A">
        <w:t xml:space="preserve">increasingly and </w:t>
      </w:r>
      <w:r w:rsidR="00E870F6">
        <w:t xml:space="preserve">consciously looking for Neighbourhood Plans to have been </w:t>
      </w:r>
      <w:r w:rsidR="00E870F6" w:rsidRPr="00E870F6">
        <w:rPr>
          <w:b/>
          <w:i/>
        </w:rPr>
        <w:t>positively prepared</w:t>
      </w:r>
      <w:r w:rsidR="00E870F6">
        <w:t xml:space="preserve">, i.e. </w:t>
      </w:r>
      <w:r w:rsidR="0029101A">
        <w:t xml:space="preserve">to </w:t>
      </w:r>
      <w:r w:rsidR="00E870F6">
        <w:t xml:space="preserve">show evidence of being </w:t>
      </w:r>
      <w:r w:rsidR="00E870F6" w:rsidRPr="0029101A">
        <w:rPr>
          <w:b/>
          <w:i/>
        </w:rPr>
        <w:t>pro-development</w:t>
      </w:r>
      <w:r w:rsidR="00E870F6">
        <w:t xml:space="preserve"> and </w:t>
      </w:r>
      <w:r w:rsidR="0029101A">
        <w:rPr>
          <w:b/>
          <w:i/>
        </w:rPr>
        <w:t>contributing</w:t>
      </w:r>
      <w:r w:rsidR="00E870F6" w:rsidRPr="0029101A">
        <w:rPr>
          <w:b/>
          <w:i/>
        </w:rPr>
        <w:t xml:space="preserve"> positively</w:t>
      </w:r>
      <w:r w:rsidR="00E870F6">
        <w:t xml:space="preserve"> to a community’s longer term sustainability.</w:t>
      </w:r>
    </w:p>
    <w:p w:rsidR="00E71DE4" w:rsidRDefault="00E71DE4" w:rsidP="00F73A22">
      <w:pPr>
        <w:pStyle w:val="ListParagraph"/>
        <w:numPr>
          <w:ilvl w:val="2"/>
          <w:numId w:val="2"/>
        </w:numPr>
        <w:jc w:val="both"/>
      </w:pPr>
      <w:r>
        <w:t xml:space="preserve"> </w:t>
      </w:r>
      <w:r w:rsidR="000C4D57">
        <w:t xml:space="preserve">IM drew attention to a </w:t>
      </w:r>
      <w:r w:rsidR="009E1156" w:rsidRPr="0029101A">
        <w:rPr>
          <w:b/>
          <w:i/>
        </w:rPr>
        <w:t>number of Neighbourhood Plans being taken to judicial review</w:t>
      </w:r>
      <w:r w:rsidR="009E1156">
        <w:t xml:space="preserve"> before </w:t>
      </w:r>
      <w:r w:rsidR="00E870F6">
        <w:t>they can be</w:t>
      </w:r>
      <w:r w:rsidR="009E1156">
        <w:t xml:space="preserve"> accepted, usually by potential developers aiming to force additional development.</w:t>
      </w:r>
    </w:p>
    <w:p w:rsidR="0029101A" w:rsidRDefault="00F24CEF" w:rsidP="00F73A22">
      <w:pPr>
        <w:pStyle w:val="ListParagraph"/>
        <w:numPr>
          <w:ilvl w:val="2"/>
          <w:numId w:val="2"/>
        </w:numPr>
        <w:jc w:val="both"/>
      </w:pPr>
      <w:r>
        <w:t>The most likely reasons for a Neighbourhood Plan being rejected by the inspector are</w:t>
      </w:r>
      <w:r w:rsidR="0029101A">
        <w:t>:</w:t>
      </w:r>
      <w:r>
        <w:t xml:space="preserve"> </w:t>
      </w:r>
    </w:p>
    <w:p w:rsidR="0029101A" w:rsidRDefault="00F24CEF" w:rsidP="00F73A22">
      <w:pPr>
        <w:pStyle w:val="ListParagraph"/>
        <w:numPr>
          <w:ilvl w:val="3"/>
          <w:numId w:val="2"/>
        </w:numPr>
        <w:jc w:val="both"/>
      </w:pPr>
      <w:r>
        <w:t xml:space="preserve">that it is </w:t>
      </w:r>
      <w:r w:rsidR="00C2226F">
        <w:rPr>
          <w:b/>
          <w:i/>
        </w:rPr>
        <w:t xml:space="preserve">not in general conformity </w:t>
      </w:r>
      <w:r w:rsidRPr="00E870F6">
        <w:rPr>
          <w:b/>
          <w:i/>
        </w:rPr>
        <w:t>with the National Planning Policy Framework</w:t>
      </w:r>
    </w:p>
    <w:p w:rsidR="00D0098A" w:rsidRDefault="00F24CEF" w:rsidP="00F73A22">
      <w:pPr>
        <w:pStyle w:val="ListParagraph"/>
        <w:numPr>
          <w:ilvl w:val="3"/>
          <w:numId w:val="2"/>
        </w:numPr>
        <w:jc w:val="both"/>
      </w:pPr>
      <w:r>
        <w:t xml:space="preserve"> </w:t>
      </w:r>
      <w:r w:rsidR="00D0098A">
        <w:t>that it is not in general conformity with local planning policy</w:t>
      </w:r>
    </w:p>
    <w:p w:rsidR="0029101A" w:rsidRDefault="00F24CEF" w:rsidP="00F73A22">
      <w:pPr>
        <w:pStyle w:val="ListParagraph"/>
        <w:numPr>
          <w:ilvl w:val="3"/>
          <w:numId w:val="2"/>
        </w:numPr>
        <w:jc w:val="both"/>
      </w:pPr>
      <w:r w:rsidRPr="00E870F6">
        <w:t>that</w:t>
      </w:r>
      <w:r w:rsidRPr="00E870F6">
        <w:rPr>
          <w:b/>
          <w:i/>
        </w:rPr>
        <w:t xml:space="preserve"> individual landowners have not been afforded adequate consideration or opportunity for consultation</w:t>
      </w:r>
      <w:r w:rsidR="0029101A">
        <w:t xml:space="preserve"> </w:t>
      </w:r>
    </w:p>
    <w:p w:rsidR="00CD56AE" w:rsidRPr="00CD56AE" w:rsidRDefault="00F24CEF" w:rsidP="00F73A22">
      <w:pPr>
        <w:pStyle w:val="ListParagraph"/>
        <w:numPr>
          <w:ilvl w:val="3"/>
          <w:numId w:val="2"/>
        </w:numPr>
        <w:jc w:val="both"/>
      </w:pPr>
      <w:r>
        <w:t xml:space="preserve">that there have been </w:t>
      </w:r>
      <w:r w:rsidRPr="00E870F6">
        <w:rPr>
          <w:b/>
          <w:i/>
        </w:rPr>
        <w:t>flaws in procedure</w:t>
      </w:r>
      <w:r w:rsidR="00D0098A">
        <w:rPr>
          <w:b/>
          <w:i/>
        </w:rPr>
        <w:t>/governance</w:t>
      </w:r>
    </w:p>
    <w:p w:rsidR="009E1156" w:rsidRPr="00CD56AE" w:rsidRDefault="00CD56AE" w:rsidP="00F73A22">
      <w:pPr>
        <w:pStyle w:val="ListParagraph"/>
        <w:numPr>
          <w:ilvl w:val="3"/>
          <w:numId w:val="2"/>
        </w:numPr>
        <w:jc w:val="both"/>
      </w:pPr>
      <w:r w:rsidRPr="00CD56AE">
        <w:t>inadequate consultation and engagement</w:t>
      </w:r>
      <w:r w:rsidR="00F24CEF" w:rsidRPr="00CD56AE">
        <w:t>.</w:t>
      </w:r>
    </w:p>
    <w:p w:rsidR="00F24CEF" w:rsidRDefault="00F24CEF" w:rsidP="00F73A22">
      <w:pPr>
        <w:pStyle w:val="ListParagraph"/>
        <w:numPr>
          <w:ilvl w:val="2"/>
          <w:numId w:val="2"/>
        </w:numPr>
        <w:jc w:val="both"/>
      </w:pPr>
      <w:r>
        <w:t xml:space="preserve">It is now </w:t>
      </w:r>
      <w:r w:rsidR="001E4C68">
        <w:t>required</w:t>
      </w:r>
      <w:r>
        <w:t xml:space="preserve"> that </w:t>
      </w:r>
      <w:r w:rsidR="001E4C68">
        <w:t xml:space="preserve">a Neighbourhood Plan submission must </w:t>
      </w:r>
      <w:r w:rsidR="00E870F6">
        <w:t>include a detailed</w:t>
      </w:r>
      <w:r w:rsidR="001E4C68">
        <w:t xml:space="preserve"> </w:t>
      </w:r>
      <w:r w:rsidR="001E4C68" w:rsidRPr="00E870F6">
        <w:rPr>
          <w:b/>
          <w:i/>
        </w:rPr>
        <w:t>consultation statement</w:t>
      </w:r>
      <w:r w:rsidR="001E4C68">
        <w:t xml:space="preserve">, </w:t>
      </w:r>
      <w:r w:rsidR="0029101A">
        <w:t xml:space="preserve">focussing on the formal consultation stage but </w:t>
      </w:r>
      <w:r w:rsidR="00E870F6">
        <w:t>covering</w:t>
      </w:r>
      <w:r>
        <w:t xml:space="preserve"> </w:t>
      </w:r>
      <w:r w:rsidR="001E4C68">
        <w:t xml:space="preserve">all of the consultation </w:t>
      </w:r>
      <w:r w:rsidR="00DF3D37">
        <w:t xml:space="preserve">and engagement </w:t>
      </w:r>
      <w:r w:rsidR="001E4C68">
        <w:t xml:space="preserve">which has taken place during the preparation of the plan, </w:t>
      </w:r>
      <w:r w:rsidR="0029101A">
        <w:t>detailing</w:t>
      </w:r>
      <w:r w:rsidR="001E4C68">
        <w:t xml:space="preserve"> objectives and outcomes. IM </w:t>
      </w:r>
      <w:r w:rsidR="0029101A">
        <w:t>asserted</w:t>
      </w:r>
      <w:r w:rsidR="001E4C68">
        <w:t xml:space="preserve"> that this is now as important as the plan itself, and that an individual </w:t>
      </w:r>
      <w:r w:rsidR="0029101A">
        <w:t xml:space="preserve">on the Steering Committee </w:t>
      </w:r>
      <w:r w:rsidR="001E4C68">
        <w:t>needs to be nominated at the earliest opportunity with responsibility for compiling the statement as the project progresses.</w:t>
      </w:r>
    </w:p>
    <w:p w:rsidR="00E870F6" w:rsidRDefault="00E870F6" w:rsidP="00F73A22">
      <w:pPr>
        <w:pStyle w:val="ListParagraph"/>
        <w:numPr>
          <w:ilvl w:val="2"/>
          <w:numId w:val="2"/>
        </w:numPr>
        <w:jc w:val="both"/>
      </w:pPr>
      <w:r>
        <w:t xml:space="preserve">Decisions taken during a neighbourhood planning process must be </w:t>
      </w:r>
      <w:r w:rsidRPr="007D35F4">
        <w:rPr>
          <w:b/>
          <w:i/>
        </w:rPr>
        <w:t>open and transparent</w:t>
      </w:r>
      <w:r>
        <w:t xml:space="preserve">, and must be taken by the </w:t>
      </w:r>
      <w:r w:rsidRPr="007D35F4">
        <w:rPr>
          <w:b/>
          <w:i/>
        </w:rPr>
        <w:t>Parish Council not the Steering Committee</w:t>
      </w:r>
      <w:r>
        <w:t>.</w:t>
      </w:r>
    </w:p>
    <w:p w:rsidR="00E870F6" w:rsidRDefault="00C43ED0" w:rsidP="00F73A22">
      <w:pPr>
        <w:pStyle w:val="ListParagraph"/>
        <w:numPr>
          <w:ilvl w:val="2"/>
          <w:numId w:val="2"/>
        </w:numPr>
        <w:jc w:val="both"/>
      </w:pPr>
      <w:r>
        <w:t xml:space="preserve">It is good practice to engage with </w:t>
      </w:r>
      <w:r w:rsidR="00E870F6">
        <w:t xml:space="preserve">Landowners and developers </w:t>
      </w:r>
      <w:r>
        <w:t xml:space="preserve">(this could be via the Steering Committee). The Parish Council could also engage with them directly if it wishes to but it would be more appropriate if this was left </w:t>
      </w:r>
      <w:r>
        <w:lastRenderedPageBreak/>
        <w:t>to the steering committee who could then advise the PC. There are no hard and fast rules on this.</w:t>
      </w:r>
      <w:r w:rsidR="00E870F6">
        <w:t xml:space="preserve"> </w:t>
      </w:r>
    </w:p>
    <w:p w:rsidR="0029101A" w:rsidRDefault="0029101A" w:rsidP="00F73A22">
      <w:pPr>
        <w:pStyle w:val="ListParagraph"/>
        <w:ind w:left="2160"/>
        <w:jc w:val="both"/>
      </w:pPr>
    </w:p>
    <w:p w:rsidR="004958D4" w:rsidRDefault="004958D4" w:rsidP="00F73A22">
      <w:pPr>
        <w:pStyle w:val="ListParagraph"/>
        <w:ind w:left="2160"/>
        <w:jc w:val="both"/>
      </w:pPr>
    </w:p>
    <w:p w:rsidR="004958D4" w:rsidRDefault="004958D4" w:rsidP="00F73A22">
      <w:pPr>
        <w:pStyle w:val="ListParagraph"/>
        <w:ind w:left="2160"/>
        <w:jc w:val="both"/>
      </w:pPr>
    </w:p>
    <w:p w:rsidR="004958D4" w:rsidRPr="00823E28" w:rsidRDefault="004958D4" w:rsidP="00F73A22">
      <w:pPr>
        <w:pStyle w:val="ListParagraph"/>
        <w:ind w:left="2160"/>
        <w:jc w:val="both"/>
      </w:pPr>
    </w:p>
    <w:p w:rsidR="00826670" w:rsidRPr="007D35F4" w:rsidRDefault="007D35F4" w:rsidP="00F73A22">
      <w:pPr>
        <w:pStyle w:val="ListParagraph"/>
        <w:numPr>
          <w:ilvl w:val="0"/>
          <w:numId w:val="2"/>
        </w:numPr>
        <w:jc w:val="both"/>
        <w:rPr>
          <w:b/>
        </w:rPr>
      </w:pPr>
      <w:r>
        <w:rPr>
          <w:b/>
        </w:rPr>
        <w:t>Site Allocations Process (SHLAA)</w:t>
      </w:r>
    </w:p>
    <w:p w:rsidR="007D35F4" w:rsidRPr="007D35F4" w:rsidRDefault="007D35F4" w:rsidP="00F73A22">
      <w:pPr>
        <w:pStyle w:val="ListParagraph"/>
        <w:jc w:val="both"/>
        <w:rPr>
          <w:b/>
        </w:rPr>
      </w:pPr>
    </w:p>
    <w:p w:rsidR="00D16A2B" w:rsidRDefault="00D16A2B" w:rsidP="00F73A22">
      <w:pPr>
        <w:pStyle w:val="ListParagraph"/>
        <w:numPr>
          <w:ilvl w:val="1"/>
          <w:numId w:val="2"/>
        </w:numPr>
        <w:jc w:val="both"/>
      </w:pPr>
      <w:r w:rsidRPr="00194FF6">
        <w:rPr>
          <w:b/>
        </w:rPr>
        <w:t>Core Strategy.</w:t>
      </w:r>
      <w:r w:rsidR="00AB6E72">
        <w:t xml:space="preserve"> IM</w:t>
      </w:r>
      <w:r>
        <w:t xml:space="preserve"> indicated that this would be </w:t>
      </w:r>
      <w:r w:rsidR="00662B80">
        <w:t xml:space="preserve">formally approved by the Council </w:t>
      </w:r>
      <w:r>
        <w:t xml:space="preserve">in Autumn 2014. </w:t>
      </w:r>
      <w:r w:rsidR="00AB6E72">
        <w:t>(</w:t>
      </w:r>
      <w:r>
        <w:t xml:space="preserve">Cllr Gruen email </w:t>
      </w:r>
      <w:r w:rsidR="00AB6E72">
        <w:t xml:space="preserve">of </w:t>
      </w:r>
      <w:r>
        <w:t>11</w:t>
      </w:r>
      <w:r w:rsidRPr="009D1CEB">
        <w:rPr>
          <w:vertAlign w:val="superscript"/>
        </w:rPr>
        <w:t>th</w:t>
      </w:r>
      <w:r>
        <w:t xml:space="preserve"> July indicates </w:t>
      </w:r>
      <w:r w:rsidR="00AB6E72">
        <w:t xml:space="preserve">the </w:t>
      </w:r>
      <w:r>
        <w:t xml:space="preserve">Inspector releasing </w:t>
      </w:r>
      <w:r w:rsidR="00AB6E72">
        <w:t xml:space="preserve">the </w:t>
      </w:r>
      <w:r>
        <w:t xml:space="preserve">draft report in August with </w:t>
      </w:r>
      <w:r w:rsidR="00AB6E72">
        <w:t xml:space="preserve">the </w:t>
      </w:r>
      <w:r>
        <w:t>Core Strategy released ‘later in 2014’</w:t>
      </w:r>
      <w:r w:rsidR="00AB6E72">
        <w:t>)</w:t>
      </w:r>
      <w:r>
        <w:t>.</w:t>
      </w:r>
    </w:p>
    <w:p w:rsidR="00D16A2B" w:rsidRDefault="00D16A2B" w:rsidP="00F73A22">
      <w:pPr>
        <w:pStyle w:val="ListParagraph"/>
        <w:ind w:left="1440"/>
        <w:jc w:val="both"/>
      </w:pPr>
    </w:p>
    <w:p w:rsidR="00CF5CFC" w:rsidRDefault="00D16A2B" w:rsidP="00F73A22">
      <w:pPr>
        <w:pStyle w:val="ListParagraph"/>
        <w:numPr>
          <w:ilvl w:val="1"/>
          <w:numId w:val="2"/>
        </w:numPr>
        <w:jc w:val="both"/>
      </w:pPr>
      <w:r w:rsidRPr="00194FF6">
        <w:rPr>
          <w:b/>
        </w:rPr>
        <w:t>Site Allocations Plan</w:t>
      </w:r>
      <w:r>
        <w:t xml:space="preserve">. </w:t>
      </w:r>
    </w:p>
    <w:p w:rsidR="00CF5CFC" w:rsidRDefault="00CF5CFC" w:rsidP="00F73A22">
      <w:pPr>
        <w:pStyle w:val="ListParagraph"/>
        <w:jc w:val="both"/>
      </w:pPr>
    </w:p>
    <w:p w:rsidR="00CF5CFC" w:rsidRDefault="00D16A2B" w:rsidP="00F73A22">
      <w:pPr>
        <w:pStyle w:val="ListParagraph"/>
        <w:numPr>
          <w:ilvl w:val="2"/>
          <w:numId w:val="2"/>
        </w:numPr>
        <w:jc w:val="both"/>
      </w:pPr>
      <w:r>
        <w:t>Cllr Gruen</w:t>
      </w:r>
      <w:r w:rsidR="00CF5CFC">
        <w:t>’s</w:t>
      </w:r>
      <w:r>
        <w:t xml:space="preserve"> email indicated that LCC will ‘aim to consult on the draft site alloc</w:t>
      </w:r>
      <w:r w:rsidR="00AB6E72">
        <w:t xml:space="preserve">ations plan later in 2014’. </w:t>
      </w:r>
    </w:p>
    <w:p w:rsidR="00CF5CFC" w:rsidRDefault="00AB6E72" w:rsidP="00F73A22">
      <w:pPr>
        <w:pStyle w:val="ListParagraph"/>
        <w:numPr>
          <w:ilvl w:val="2"/>
          <w:numId w:val="2"/>
        </w:numPr>
        <w:jc w:val="both"/>
      </w:pPr>
      <w:r>
        <w:t>IM</w:t>
      </w:r>
      <w:r w:rsidR="00D16A2B">
        <w:t xml:space="preserve"> envisaged that this target may well not be achieved for various reasons, notably the time for the </w:t>
      </w:r>
      <w:r w:rsidR="00C63913">
        <w:t xml:space="preserve">Development Plans </w:t>
      </w:r>
      <w:r w:rsidR="00D16A2B">
        <w:t xml:space="preserve">Panel to </w:t>
      </w:r>
      <w:r w:rsidR="00CF5CFC">
        <w:t>re</w:t>
      </w:r>
      <w:r w:rsidR="00D16A2B">
        <w:t xml:space="preserve">view the sites. </w:t>
      </w:r>
      <w:r w:rsidR="00C63913">
        <w:t>(This process starts at the beginning of October</w:t>
      </w:r>
      <w:r w:rsidR="00CF5CFC">
        <w:t xml:space="preserve">). </w:t>
      </w:r>
    </w:p>
    <w:p w:rsidR="00C63913" w:rsidRDefault="00CF5CFC" w:rsidP="00F73A22">
      <w:pPr>
        <w:pStyle w:val="ListParagraph"/>
        <w:numPr>
          <w:ilvl w:val="2"/>
          <w:numId w:val="2"/>
        </w:numPr>
        <w:jc w:val="both"/>
      </w:pPr>
      <w:r>
        <w:t>IM pointed out that</w:t>
      </w:r>
      <w:r w:rsidR="00D16A2B">
        <w:t xml:space="preserve"> if the target slips towards March 2015 the local and gene</w:t>
      </w:r>
      <w:r w:rsidR="00C36B27">
        <w:t xml:space="preserve">ral election preparations may </w:t>
      </w:r>
      <w:r w:rsidR="00D16A2B">
        <w:t xml:space="preserve">cause a further delay to beyond </w:t>
      </w:r>
      <w:r w:rsidR="00C63913">
        <w:t>May</w:t>
      </w:r>
      <w:r w:rsidR="00D16A2B">
        <w:t xml:space="preserve"> 2015. </w:t>
      </w:r>
    </w:p>
    <w:p w:rsidR="00D16A2B" w:rsidRDefault="00C63913" w:rsidP="00F73A22">
      <w:pPr>
        <w:pStyle w:val="ListParagraph"/>
        <w:numPr>
          <w:ilvl w:val="2"/>
          <w:numId w:val="2"/>
        </w:numPr>
        <w:jc w:val="both"/>
      </w:pPr>
      <w:r>
        <w:t>Progress towards LCC’s site allocations plan would impact the timing on Bardsey’s NP. IM</w:t>
      </w:r>
      <w:r w:rsidR="00D16A2B">
        <w:t xml:space="preserve"> </w:t>
      </w:r>
      <w:r>
        <w:t xml:space="preserve">made abundantly clear that LCC would </w:t>
      </w:r>
      <w:r w:rsidR="004958D4">
        <w:t xml:space="preserve">much </w:t>
      </w:r>
      <w:r>
        <w:t>prefer</w:t>
      </w:r>
      <w:r w:rsidR="00D16A2B">
        <w:t xml:space="preserve"> </w:t>
      </w:r>
      <w:r w:rsidR="004958D4">
        <w:t xml:space="preserve">(almost expect) </w:t>
      </w:r>
      <w:r>
        <w:t>our p</w:t>
      </w:r>
      <w:r w:rsidR="00D16A2B">
        <w:t>re</w:t>
      </w:r>
      <w:r>
        <w:t>-</w:t>
      </w:r>
      <w:r w:rsidR="00D16A2B">
        <w:t xml:space="preserve">submission Consultation </w:t>
      </w:r>
      <w:r>
        <w:t>to</w:t>
      </w:r>
      <w:r w:rsidR="00D16A2B">
        <w:t xml:space="preserve"> await the release of the Draft Allocations Plan.</w:t>
      </w:r>
    </w:p>
    <w:p w:rsidR="00D16A2B" w:rsidRDefault="00D16A2B" w:rsidP="00F73A22">
      <w:pPr>
        <w:pStyle w:val="ListParagraph"/>
        <w:ind w:left="1440"/>
        <w:jc w:val="both"/>
      </w:pPr>
    </w:p>
    <w:p w:rsidR="00D16A2B" w:rsidRDefault="00D16A2B" w:rsidP="00F73A22">
      <w:pPr>
        <w:pStyle w:val="ListParagraph"/>
        <w:numPr>
          <w:ilvl w:val="1"/>
          <w:numId w:val="2"/>
        </w:numPr>
        <w:jc w:val="both"/>
      </w:pPr>
      <w:r w:rsidRPr="00270E87">
        <w:rPr>
          <w:b/>
        </w:rPr>
        <w:t>Risk to SHLAA</w:t>
      </w:r>
      <w:r>
        <w:t xml:space="preserve">. IM regards the biggest risk to both NPs and LCC Site Allocations Plan red sites as </w:t>
      </w:r>
      <w:r w:rsidR="004958D4">
        <w:t>being</w:t>
      </w:r>
      <w:r>
        <w:t xml:space="preserve"> Landowner/Developer led challenge</w:t>
      </w:r>
      <w:r w:rsidR="004958D4">
        <w:t>s</w:t>
      </w:r>
      <w:r>
        <w:t>. At least one available precedent for such a challenge</w:t>
      </w:r>
      <w:r>
        <w:rPr>
          <w:color w:val="FF0000"/>
        </w:rPr>
        <w:t xml:space="preserve"> </w:t>
      </w:r>
      <w:r>
        <w:t>w</w:t>
      </w:r>
      <w:r w:rsidRPr="00D16A2B">
        <w:t xml:space="preserve">ould be a claim that they </w:t>
      </w:r>
      <w:r>
        <w:t xml:space="preserve">(the developer or landowner) </w:t>
      </w:r>
      <w:r w:rsidRPr="00D16A2B">
        <w:t xml:space="preserve">had not been </w:t>
      </w:r>
      <w:r w:rsidR="000E7830">
        <w:t>engaged/consulted.</w:t>
      </w:r>
      <w:bookmarkStart w:id="0" w:name="_GoBack"/>
      <w:bookmarkEnd w:id="0"/>
    </w:p>
    <w:p w:rsidR="00AB6E72" w:rsidRDefault="00AB6E72" w:rsidP="00F73A22">
      <w:pPr>
        <w:pStyle w:val="ListParagraph"/>
        <w:jc w:val="both"/>
      </w:pPr>
    </w:p>
    <w:p w:rsidR="007D35F4" w:rsidRDefault="00AB6E72" w:rsidP="00F73A22">
      <w:pPr>
        <w:pStyle w:val="ListParagraph"/>
        <w:numPr>
          <w:ilvl w:val="1"/>
          <w:numId w:val="2"/>
        </w:numPr>
        <w:jc w:val="both"/>
      </w:pPr>
      <w:r w:rsidRPr="00270E87">
        <w:rPr>
          <w:b/>
        </w:rPr>
        <w:t>PAS sites</w:t>
      </w:r>
      <w:r>
        <w:t xml:space="preserve">. IMCK confirmed that Bardsey have no PAS sites. He handed out part of an LCC internal email originated by Tom Ridley </w:t>
      </w:r>
      <w:r w:rsidR="00CF5CFC">
        <w:t xml:space="preserve">(senior planner) </w:t>
      </w:r>
      <w:r>
        <w:t xml:space="preserve">clarifying the criteria </w:t>
      </w:r>
      <w:r w:rsidR="00CF5CFC">
        <w:t>for</w:t>
      </w:r>
      <w:r>
        <w:t xml:space="preserve"> PAS sites</w:t>
      </w:r>
      <w:r w:rsidR="00CF5CFC">
        <w:t>, which will be circulated to the SC</w:t>
      </w:r>
      <w:r>
        <w:t xml:space="preserve">. </w:t>
      </w:r>
    </w:p>
    <w:p w:rsidR="00CF5CFC" w:rsidRDefault="00CF5CFC" w:rsidP="00F73A22">
      <w:pPr>
        <w:pStyle w:val="ListParagraph"/>
        <w:jc w:val="both"/>
      </w:pPr>
    </w:p>
    <w:p w:rsidR="00CA4838" w:rsidRDefault="00C63913" w:rsidP="00F73A22">
      <w:pPr>
        <w:pStyle w:val="ListParagraph"/>
        <w:numPr>
          <w:ilvl w:val="1"/>
          <w:numId w:val="2"/>
        </w:numPr>
        <w:jc w:val="both"/>
      </w:pPr>
      <w:r w:rsidRPr="00393D68">
        <w:rPr>
          <w:b/>
        </w:rPr>
        <w:t>Bardsey SHLAA sites</w:t>
      </w:r>
      <w:r w:rsidR="00393D68">
        <w:t>:</w:t>
      </w:r>
      <w:r>
        <w:t xml:space="preserve"> IM confided the responses </w:t>
      </w:r>
      <w:r w:rsidR="00CA4838">
        <w:t xml:space="preserve">received </w:t>
      </w:r>
      <w:r>
        <w:t xml:space="preserve">to last year’s LCC public consultation on </w:t>
      </w:r>
      <w:r w:rsidR="004958D4">
        <w:t xml:space="preserve">some of </w:t>
      </w:r>
      <w:r>
        <w:t xml:space="preserve">the </w:t>
      </w:r>
      <w:r w:rsidR="004958D4">
        <w:t xml:space="preserve">Bardsey </w:t>
      </w:r>
      <w:r>
        <w:t xml:space="preserve">SHLAA </w:t>
      </w:r>
      <w:r w:rsidR="004958D4">
        <w:t>sites</w:t>
      </w:r>
      <w:r>
        <w:t xml:space="preserve"> </w:t>
      </w:r>
      <w:r w:rsidR="00CA4838">
        <w:t xml:space="preserve">were </w:t>
      </w:r>
      <w:r w:rsidR="004958D4">
        <w:t xml:space="preserve">as follows </w:t>
      </w:r>
      <w:r w:rsidR="00CA4838">
        <w:t>(</w:t>
      </w:r>
      <w:r w:rsidR="004958D4">
        <w:t xml:space="preserve">N.B. IM promised to </w:t>
      </w:r>
      <w:r w:rsidR="00393D68">
        <w:t>provide</w:t>
      </w:r>
      <w:r w:rsidR="004958D4">
        <w:t xml:space="preserve">  further information via June Gallant)</w:t>
      </w:r>
      <w:r>
        <w:t>:</w:t>
      </w:r>
    </w:p>
    <w:p w:rsidR="00CA4838" w:rsidRDefault="00CA4838" w:rsidP="00F73A22">
      <w:pPr>
        <w:pStyle w:val="ListParagraph"/>
        <w:ind w:left="1440"/>
        <w:jc w:val="both"/>
      </w:pPr>
    </w:p>
    <w:tbl>
      <w:tblPr>
        <w:tblStyle w:val="TableGrid"/>
        <w:tblW w:w="0" w:type="auto"/>
        <w:tblInd w:w="1440" w:type="dxa"/>
        <w:tblLook w:val="04A0"/>
      </w:tblPr>
      <w:tblGrid>
        <w:gridCol w:w="1155"/>
        <w:gridCol w:w="1486"/>
        <w:gridCol w:w="1392"/>
        <w:gridCol w:w="1196"/>
        <w:gridCol w:w="1309"/>
        <w:gridCol w:w="1264"/>
      </w:tblGrid>
      <w:tr w:rsidR="004958D4" w:rsidTr="00CA4838">
        <w:tc>
          <w:tcPr>
            <w:tcW w:w="1540" w:type="dxa"/>
          </w:tcPr>
          <w:p w:rsidR="00CA4838" w:rsidRPr="00CA4838" w:rsidRDefault="00CA4838" w:rsidP="00F73A22">
            <w:pPr>
              <w:pStyle w:val="ListParagraph"/>
              <w:ind w:left="0"/>
              <w:jc w:val="both"/>
              <w:rPr>
                <w:b/>
              </w:rPr>
            </w:pPr>
            <w:r w:rsidRPr="00CA4838">
              <w:rPr>
                <w:b/>
              </w:rPr>
              <w:t>Site</w:t>
            </w:r>
          </w:p>
        </w:tc>
        <w:tc>
          <w:tcPr>
            <w:tcW w:w="1540" w:type="dxa"/>
          </w:tcPr>
          <w:p w:rsidR="00CA4838" w:rsidRPr="00CA4838" w:rsidRDefault="00CA4838" w:rsidP="00F73A22">
            <w:pPr>
              <w:pStyle w:val="ListParagraph"/>
              <w:ind w:left="0"/>
              <w:jc w:val="both"/>
              <w:rPr>
                <w:b/>
              </w:rPr>
            </w:pPr>
            <w:r w:rsidRPr="00CA4838">
              <w:rPr>
                <w:b/>
              </w:rPr>
              <w:t>LCC Classification</w:t>
            </w:r>
          </w:p>
        </w:tc>
        <w:tc>
          <w:tcPr>
            <w:tcW w:w="1540" w:type="dxa"/>
          </w:tcPr>
          <w:p w:rsidR="00CA4838" w:rsidRPr="00CA4838" w:rsidRDefault="00CA4838" w:rsidP="00F73A22">
            <w:pPr>
              <w:pStyle w:val="ListParagraph"/>
              <w:ind w:left="0"/>
              <w:jc w:val="both"/>
              <w:rPr>
                <w:b/>
              </w:rPr>
            </w:pPr>
            <w:r w:rsidRPr="00CA4838">
              <w:rPr>
                <w:b/>
              </w:rPr>
              <w:t>Total Comments</w:t>
            </w:r>
          </w:p>
        </w:tc>
        <w:tc>
          <w:tcPr>
            <w:tcW w:w="1540" w:type="dxa"/>
          </w:tcPr>
          <w:p w:rsidR="00CA4838" w:rsidRPr="00CA4838" w:rsidRDefault="00CA4838" w:rsidP="00F73A22">
            <w:pPr>
              <w:pStyle w:val="ListParagraph"/>
              <w:ind w:left="0"/>
              <w:jc w:val="both"/>
              <w:rPr>
                <w:b/>
              </w:rPr>
            </w:pPr>
            <w:r w:rsidRPr="00CA4838">
              <w:rPr>
                <w:b/>
              </w:rPr>
              <w:t>Agree with LCC</w:t>
            </w:r>
          </w:p>
        </w:tc>
        <w:tc>
          <w:tcPr>
            <w:tcW w:w="1541" w:type="dxa"/>
          </w:tcPr>
          <w:p w:rsidR="00CA4838" w:rsidRPr="00CA4838" w:rsidRDefault="00CA4838" w:rsidP="00F73A22">
            <w:pPr>
              <w:pStyle w:val="ListParagraph"/>
              <w:ind w:left="0"/>
              <w:jc w:val="both"/>
              <w:rPr>
                <w:b/>
              </w:rPr>
            </w:pPr>
            <w:r w:rsidRPr="00CA4838">
              <w:rPr>
                <w:b/>
              </w:rPr>
              <w:t>Disagree with LCC</w:t>
            </w:r>
          </w:p>
        </w:tc>
        <w:tc>
          <w:tcPr>
            <w:tcW w:w="1541" w:type="dxa"/>
          </w:tcPr>
          <w:p w:rsidR="00CA4838" w:rsidRPr="00CA4838" w:rsidRDefault="00CA4838" w:rsidP="00F73A22">
            <w:pPr>
              <w:pStyle w:val="ListParagraph"/>
              <w:ind w:left="0"/>
              <w:jc w:val="both"/>
              <w:rPr>
                <w:b/>
              </w:rPr>
            </w:pPr>
            <w:r w:rsidRPr="00CA4838">
              <w:rPr>
                <w:b/>
              </w:rPr>
              <w:t>Neutral</w:t>
            </w:r>
          </w:p>
        </w:tc>
      </w:tr>
      <w:tr w:rsidR="004958D4" w:rsidTr="00CA4838">
        <w:tc>
          <w:tcPr>
            <w:tcW w:w="1540" w:type="dxa"/>
          </w:tcPr>
          <w:p w:rsidR="00CA4838" w:rsidRDefault="00CA4838" w:rsidP="00F73A22">
            <w:pPr>
              <w:pStyle w:val="ListParagraph"/>
              <w:ind w:left="0"/>
              <w:jc w:val="both"/>
            </w:pPr>
            <w:r>
              <w:t>780</w:t>
            </w:r>
          </w:p>
        </w:tc>
        <w:tc>
          <w:tcPr>
            <w:tcW w:w="1540" w:type="dxa"/>
          </w:tcPr>
          <w:p w:rsidR="00CA4838" w:rsidRDefault="00CA4838" w:rsidP="00F73A22">
            <w:pPr>
              <w:pStyle w:val="ListParagraph"/>
              <w:ind w:left="0"/>
              <w:jc w:val="both"/>
            </w:pPr>
            <w:r>
              <w:t>Sieved Out</w:t>
            </w:r>
          </w:p>
        </w:tc>
        <w:tc>
          <w:tcPr>
            <w:tcW w:w="1540" w:type="dxa"/>
          </w:tcPr>
          <w:p w:rsidR="00CA4838" w:rsidRDefault="00CA4838" w:rsidP="00F73A22">
            <w:pPr>
              <w:pStyle w:val="ListParagraph"/>
              <w:ind w:left="0"/>
              <w:jc w:val="both"/>
            </w:pPr>
            <w:r>
              <w:t>0</w:t>
            </w:r>
          </w:p>
        </w:tc>
        <w:tc>
          <w:tcPr>
            <w:tcW w:w="1540" w:type="dxa"/>
          </w:tcPr>
          <w:p w:rsidR="00CA4838" w:rsidRDefault="00CA4838" w:rsidP="00F73A22">
            <w:pPr>
              <w:pStyle w:val="ListParagraph"/>
              <w:ind w:left="0"/>
              <w:jc w:val="both"/>
            </w:pPr>
            <w:r>
              <w:t>0</w:t>
            </w:r>
          </w:p>
        </w:tc>
        <w:tc>
          <w:tcPr>
            <w:tcW w:w="1541" w:type="dxa"/>
          </w:tcPr>
          <w:p w:rsidR="00CA4838" w:rsidRDefault="00CA4838" w:rsidP="00F73A22">
            <w:pPr>
              <w:pStyle w:val="ListParagraph"/>
              <w:ind w:left="0"/>
              <w:jc w:val="both"/>
            </w:pPr>
            <w:r>
              <w:t>0</w:t>
            </w:r>
          </w:p>
        </w:tc>
        <w:tc>
          <w:tcPr>
            <w:tcW w:w="1541" w:type="dxa"/>
          </w:tcPr>
          <w:p w:rsidR="00CA4838" w:rsidRDefault="00CA4838" w:rsidP="00F73A22">
            <w:pPr>
              <w:pStyle w:val="ListParagraph"/>
              <w:ind w:left="0"/>
              <w:jc w:val="both"/>
            </w:pPr>
            <w:r>
              <w:t>0</w:t>
            </w:r>
          </w:p>
        </w:tc>
      </w:tr>
      <w:tr w:rsidR="004958D4" w:rsidTr="00CA4838">
        <w:tc>
          <w:tcPr>
            <w:tcW w:w="1540" w:type="dxa"/>
          </w:tcPr>
          <w:p w:rsidR="00CA4838" w:rsidRDefault="00CA4838" w:rsidP="00F73A22">
            <w:pPr>
              <w:pStyle w:val="ListParagraph"/>
              <w:ind w:left="0"/>
              <w:jc w:val="both"/>
            </w:pPr>
            <w:r>
              <w:t>1106</w:t>
            </w:r>
          </w:p>
        </w:tc>
        <w:tc>
          <w:tcPr>
            <w:tcW w:w="1540" w:type="dxa"/>
          </w:tcPr>
          <w:p w:rsidR="00CA4838" w:rsidRDefault="00CA4838" w:rsidP="00F73A22">
            <w:pPr>
              <w:pStyle w:val="ListParagraph"/>
              <w:ind w:left="0"/>
              <w:jc w:val="both"/>
            </w:pPr>
            <w:r>
              <w:t>Red</w:t>
            </w:r>
          </w:p>
        </w:tc>
        <w:tc>
          <w:tcPr>
            <w:tcW w:w="1540" w:type="dxa"/>
          </w:tcPr>
          <w:p w:rsidR="00CA4838" w:rsidRDefault="00CA4838" w:rsidP="00F73A22">
            <w:pPr>
              <w:pStyle w:val="ListParagraph"/>
              <w:ind w:left="0"/>
              <w:jc w:val="both"/>
            </w:pPr>
            <w:r>
              <w:t>49</w:t>
            </w:r>
          </w:p>
        </w:tc>
        <w:tc>
          <w:tcPr>
            <w:tcW w:w="1540" w:type="dxa"/>
          </w:tcPr>
          <w:p w:rsidR="00CA4838" w:rsidRDefault="00CA4838" w:rsidP="00F73A22">
            <w:pPr>
              <w:pStyle w:val="ListParagraph"/>
              <w:ind w:left="0"/>
              <w:jc w:val="both"/>
            </w:pPr>
            <w:r>
              <w:t>37</w:t>
            </w:r>
          </w:p>
        </w:tc>
        <w:tc>
          <w:tcPr>
            <w:tcW w:w="1541" w:type="dxa"/>
          </w:tcPr>
          <w:p w:rsidR="00CA4838" w:rsidRDefault="00CA4838" w:rsidP="00F73A22">
            <w:pPr>
              <w:pStyle w:val="ListParagraph"/>
              <w:ind w:left="0"/>
              <w:jc w:val="both"/>
            </w:pPr>
            <w:r>
              <w:t>10</w:t>
            </w:r>
          </w:p>
        </w:tc>
        <w:tc>
          <w:tcPr>
            <w:tcW w:w="1541" w:type="dxa"/>
          </w:tcPr>
          <w:p w:rsidR="00CA4838" w:rsidRDefault="00CA4838" w:rsidP="00F73A22">
            <w:pPr>
              <w:pStyle w:val="ListParagraph"/>
              <w:ind w:left="0"/>
              <w:jc w:val="both"/>
            </w:pPr>
            <w:r>
              <w:t>1</w:t>
            </w:r>
          </w:p>
        </w:tc>
      </w:tr>
      <w:tr w:rsidR="004958D4" w:rsidTr="00CA4838">
        <w:tc>
          <w:tcPr>
            <w:tcW w:w="1540" w:type="dxa"/>
          </w:tcPr>
          <w:p w:rsidR="00CA4838" w:rsidRDefault="00CA4838" w:rsidP="00F73A22">
            <w:pPr>
              <w:pStyle w:val="ListParagraph"/>
              <w:ind w:left="0"/>
              <w:jc w:val="both"/>
            </w:pPr>
            <w:r>
              <w:t>1153</w:t>
            </w:r>
          </w:p>
        </w:tc>
        <w:tc>
          <w:tcPr>
            <w:tcW w:w="1540" w:type="dxa"/>
          </w:tcPr>
          <w:p w:rsidR="00CA4838" w:rsidRDefault="00CA4838" w:rsidP="00F73A22">
            <w:pPr>
              <w:pStyle w:val="ListParagraph"/>
              <w:ind w:left="0"/>
              <w:jc w:val="both"/>
            </w:pPr>
            <w:r>
              <w:t>Green</w:t>
            </w:r>
          </w:p>
        </w:tc>
        <w:tc>
          <w:tcPr>
            <w:tcW w:w="1540" w:type="dxa"/>
          </w:tcPr>
          <w:p w:rsidR="00CA4838" w:rsidRDefault="00CA4838" w:rsidP="00F73A22">
            <w:pPr>
              <w:pStyle w:val="ListParagraph"/>
              <w:ind w:left="0"/>
              <w:jc w:val="both"/>
            </w:pPr>
            <w:r>
              <w:t>16</w:t>
            </w:r>
          </w:p>
        </w:tc>
        <w:tc>
          <w:tcPr>
            <w:tcW w:w="1540" w:type="dxa"/>
          </w:tcPr>
          <w:p w:rsidR="00CA4838" w:rsidRDefault="00CA4838" w:rsidP="00F73A22">
            <w:pPr>
              <w:pStyle w:val="ListParagraph"/>
              <w:ind w:left="0"/>
              <w:jc w:val="both"/>
            </w:pPr>
            <w:r>
              <w:t>10</w:t>
            </w:r>
          </w:p>
        </w:tc>
        <w:tc>
          <w:tcPr>
            <w:tcW w:w="1541" w:type="dxa"/>
          </w:tcPr>
          <w:p w:rsidR="00CA4838" w:rsidRDefault="00CA4838" w:rsidP="00F73A22">
            <w:pPr>
              <w:pStyle w:val="ListParagraph"/>
              <w:ind w:left="0"/>
              <w:jc w:val="both"/>
            </w:pPr>
            <w:r>
              <w:t>5</w:t>
            </w:r>
          </w:p>
        </w:tc>
        <w:tc>
          <w:tcPr>
            <w:tcW w:w="1541" w:type="dxa"/>
          </w:tcPr>
          <w:p w:rsidR="00CA4838" w:rsidRDefault="00CA4838" w:rsidP="00F73A22">
            <w:pPr>
              <w:pStyle w:val="ListParagraph"/>
              <w:ind w:left="0"/>
              <w:jc w:val="both"/>
            </w:pPr>
            <w:r>
              <w:t>1</w:t>
            </w:r>
          </w:p>
        </w:tc>
      </w:tr>
      <w:tr w:rsidR="004958D4" w:rsidTr="00CA4838">
        <w:tc>
          <w:tcPr>
            <w:tcW w:w="1540" w:type="dxa"/>
          </w:tcPr>
          <w:p w:rsidR="00CA4838" w:rsidRDefault="008D67FF" w:rsidP="00F73A22">
            <w:pPr>
              <w:pStyle w:val="ListParagraph"/>
              <w:ind w:left="0"/>
              <w:jc w:val="both"/>
            </w:pPr>
            <w:r>
              <w:lastRenderedPageBreak/>
              <w:t>3133</w:t>
            </w:r>
          </w:p>
        </w:tc>
        <w:tc>
          <w:tcPr>
            <w:tcW w:w="1540" w:type="dxa"/>
          </w:tcPr>
          <w:p w:rsidR="00CA4838" w:rsidRDefault="00CA4838" w:rsidP="00F73A22">
            <w:pPr>
              <w:pStyle w:val="ListParagraph"/>
              <w:ind w:left="0"/>
              <w:jc w:val="both"/>
            </w:pPr>
            <w:r>
              <w:t>Red</w:t>
            </w:r>
          </w:p>
        </w:tc>
        <w:tc>
          <w:tcPr>
            <w:tcW w:w="1540" w:type="dxa"/>
          </w:tcPr>
          <w:p w:rsidR="00CA4838" w:rsidRDefault="00CA4838" w:rsidP="00F73A22">
            <w:pPr>
              <w:pStyle w:val="ListParagraph"/>
              <w:ind w:left="0"/>
              <w:jc w:val="both"/>
            </w:pPr>
            <w:r>
              <w:t>2</w:t>
            </w:r>
          </w:p>
        </w:tc>
        <w:tc>
          <w:tcPr>
            <w:tcW w:w="1540" w:type="dxa"/>
          </w:tcPr>
          <w:p w:rsidR="00CA4838" w:rsidRDefault="00CA4838" w:rsidP="00F73A22">
            <w:pPr>
              <w:pStyle w:val="ListParagraph"/>
              <w:ind w:left="0"/>
              <w:jc w:val="both"/>
            </w:pPr>
            <w:r>
              <w:t>2</w:t>
            </w:r>
          </w:p>
        </w:tc>
        <w:tc>
          <w:tcPr>
            <w:tcW w:w="1541" w:type="dxa"/>
          </w:tcPr>
          <w:p w:rsidR="00CA4838" w:rsidRDefault="00CA4838" w:rsidP="00F73A22">
            <w:pPr>
              <w:pStyle w:val="ListParagraph"/>
              <w:ind w:left="0"/>
              <w:jc w:val="both"/>
            </w:pPr>
            <w:r>
              <w:t>0</w:t>
            </w:r>
          </w:p>
        </w:tc>
        <w:tc>
          <w:tcPr>
            <w:tcW w:w="1541" w:type="dxa"/>
          </w:tcPr>
          <w:p w:rsidR="00CA4838" w:rsidRDefault="00CA4838" w:rsidP="00F73A22">
            <w:pPr>
              <w:pStyle w:val="ListParagraph"/>
              <w:ind w:left="0"/>
              <w:jc w:val="both"/>
            </w:pPr>
            <w:r>
              <w:t>0</w:t>
            </w:r>
          </w:p>
        </w:tc>
      </w:tr>
      <w:tr w:rsidR="00CA4838" w:rsidTr="00CA4838">
        <w:tc>
          <w:tcPr>
            <w:tcW w:w="1540" w:type="dxa"/>
          </w:tcPr>
          <w:p w:rsidR="00CA4838" w:rsidRDefault="008D67FF" w:rsidP="00F73A22">
            <w:pPr>
              <w:pStyle w:val="ListParagraph"/>
              <w:ind w:left="0"/>
              <w:jc w:val="both"/>
            </w:pPr>
            <w:r>
              <w:t>1127</w:t>
            </w:r>
          </w:p>
          <w:p w:rsidR="008D67FF" w:rsidRDefault="008D67FF" w:rsidP="00F73A22">
            <w:pPr>
              <w:pStyle w:val="ListParagraph"/>
              <w:ind w:left="0"/>
              <w:jc w:val="both"/>
            </w:pPr>
          </w:p>
        </w:tc>
        <w:tc>
          <w:tcPr>
            <w:tcW w:w="1540" w:type="dxa"/>
          </w:tcPr>
          <w:p w:rsidR="00CA4838" w:rsidRDefault="004958D4" w:rsidP="00F73A22">
            <w:pPr>
              <w:pStyle w:val="ListParagraph"/>
              <w:ind w:left="0"/>
              <w:jc w:val="both"/>
            </w:pPr>
            <w:r>
              <w:t xml:space="preserve">Already </w:t>
            </w:r>
            <w:r w:rsidR="00CA4838">
              <w:t>Approved!</w:t>
            </w:r>
          </w:p>
        </w:tc>
        <w:tc>
          <w:tcPr>
            <w:tcW w:w="1540" w:type="dxa"/>
          </w:tcPr>
          <w:p w:rsidR="00CA4838" w:rsidRDefault="00CA4838" w:rsidP="00F73A22">
            <w:pPr>
              <w:pStyle w:val="ListParagraph"/>
              <w:ind w:left="0"/>
              <w:jc w:val="both"/>
            </w:pPr>
            <w:r>
              <w:t>8</w:t>
            </w:r>
          </w:p>
        </w:tc>
        <w:tc>
          <w:tcPr>
            <w:tcW w:w="1540" w:type="dxa"/>
          </w:tcPr>
          <w:p w:rsidR="00CA4838" w:rsidRDefault="00CA4838" w:rsidP="00F73A22">
            <w:pPr>
              <w:pStyle w:val="ListParagraph"/>
              <w:ind w:left="0"/>
              <w:jc w:val="both"/>
            </w:pPr>
            <w:r>
              <w:t>5</w:t>
            </w:r>
          </w:p>
        </w:tc>
        <w:tc>
          <w:tcPr>
            <w:tcW w:w="1541" w:type="dxa"/>
          </w:tcPr>
          <w:p w:rsidR="00CA4838" w:rsidRDefault="00CA4838" w:rsidP="00F73A22">
            <w:pPr>
              <w:pStyle w:val="ListParagraph"/>
              <w:ind w:left="0"/>
              <w:jc w:val="both"/>
            </w:pPr>
            <w:r>
              <w:t>2</w:t>
            </w:r>
          </w:p>
        </w:tc>
        <w:tc>
          <w:tcPr>
            <w:tcW w:w="1541" w:type="dxa"/>
          </w:tcPr>
          <w:p w:rsidR="00CA4838" w:rsidRDefault="00CA4838" w:rsidP="00F73A22">
            <w:pPr>
              <w:pStyle w:val="ListParagraph"/>
              <w:ind w:left="0"/>
              <w:jc w:val="both"/>
            </w:pPr>
            <w:r>
              <w:t>1</w:t>
            </w:r>
          </w:p>
        </w:tc>
      </w:tr>
      <w:tr w:rsidR="004958D4" w:rsidTr="00CA4838">
        <w:tc>
          <w:tcPr>
            <w:tcW w:w="1540" w:type="dxa"/>
          </w:tcPr>
          <w:p w:rsidR="00CA4838" w:rsidRDefault="00CA4838" w:rsidP="00F73A22">
            <w:pPr>
              <w:pStyle w:val="ListParagraph"/>
              <w:ind w:left="0"/>
              <w:jc w:val="both"/>
            </w:pPr>
            <w:r>
              <w:t>3134</w:t>
            </w:r>
          </w:p>
        </w:tc>
        <w:tc>
          <w:tcPr>
            <w:tcW w:w="1540" w:type="dxa"/>
          </w:tcPr>
          <w:p w:rsidR="00CA4838" w:rsidRDefault="00CA4838" w:rsidP="00F73A22">
            <w:pPr>
              <w:pStyle w:val="ListParagraph"/>
              <w:ind w:left="0"/>
              <w:jc w:val="both"/>
            </w:pPr>
            <w:r>
              <w:t>Red</w:t>
            </w:r>
          </w:p>
        </w:tc>
        <w:tc>
          <w:tcPr>
            <w:tcW w:w="1540" w:type="dxa"/>
          </w:tcPr>
          <w:p w:rsidR="00CA4838" w:rsidRDefault="00CA4838" w:rsidP="00F73A22">
            <w:pPr>
              <w:pStyle w:val="ListParagraph"/>
              <w:ind w:left="0"/>
              <w:jc w:val="both"/>
            </w:pPr>
            <w:r>
              <w:t>12</w:t>
            </w:r>
          </w:p>
        </w:tc>
        <w:tc>
          <w:tcPr>
            <w:tcW w:w="1540" w:type="dxa"/>
          </w:tcPr>
          <w:p w:rsidR="00CA4838" w:rsidRDefault="00CA4838" w:rsidP="00F73A22">
            <w:pPr>
              <w:pStyle w:val="ListParagraph"/>
              <w:ind w:left="0"/>
              <w:jc w:val="both"/>
            </w:pPr>
            <w:r>
              <w:t>8</w:t>
            </w:r>
          </w:p>
        </w:tc>
        <w:tc>
          <w:tcPr>
            <w:tcW w:w="1541" w:type="dxa"/>
          </w:tcPr>
          <w:p w:rsidR="00CA4838" w:rsidRDefault="00CA4838" w:rsidP="00F73A22">
            <w:pPr>
              <w:pStyle w:val="ListParagraph"/>
              <w:ind w:left="0"/>
              <w:jc w:val="both"/>
            </w:pPr>
            <w:r>
              <w:t>3</w:t>
            </w:r>
          </w:p>
        </w:tc>
        <w:tc>
          <w:tcPr>
            <w:tcW w:w="1541" w:type="dxa"/>
          </w:tcPr>
          <w:p w:rsidR="00CA4838" w:rsidRDefault="00CA4838" w:rsidP="00F73A22">
            <w:pPr>
              <w:pStyle w:val="ListParagraph"/>
              <w:ind w:left="0"/>
              <w:jc w:val="both"/>
            </w:pPr>
            <w:r>
              <w:t>1</w:t>
            </w:r>
          </w:p>
        </w:tc>
      </w:tr>
    </w:tbl>
    <w:p w:rsidR="00CF3F6B" w:rsidRPr="00CF3F6B" w:rsidRDefault="00CF3F6B" w:rsidP="00F73A22">
      <w:pPr>
        <w:pStyle w:val="ListParagraph"/>
        <w:jc w:val="both"/>
        <w:rPr>
          <w:b/>
        </w:rPr>
      </w:pPr>
    </w:p>
    <w:p w:rsidR="00C63913" w:rsidRDefault="00CF3F6B" w:rsidP="00F73A22">
      <w:pPr>
        <w:pStyle w:val="ListParagraph"/>
        <w:numPr>
          <w:ilvl w:val="0"/>
          <w:numId w:val="2"/>
        </w:numPr>
        <w:jc w:val="both"/>
        <w:rPr>
          <w:b/>
        </w:rPr>
      </w:pPr>
      <w:r>
        <w:rPr>
          <w:b/>
        </w:rPr>
        <w:t>Bardsey Neighbourhood Planning Process</w:t>
      </w:r>
    </w:p>
    <w:p w:rsidR="00CF3F6B" w:rsidRDefault="00CF3F6B" w:rsidP="00F73A22">
      <w:pPr>
        <w:pStyle w:val="ListParagraph"/>
        <w:jc w:val="both"/>
        <w:rPr>
          <w:b/>
        </w:rPr>
      </w:pPr>
    </w:p>
    <w:p w:rsidR="00CF3F6B" w:rsidRDefault="00CF3F6B" w:rsidP="00F73A22">
      <w:pPr>
        <w:pStyle w:val="ListParagraph"/>
        <w:numPr>
          <w:ilvl w:val="1"/>
          <w:numId w:val="2"/>
        </w:numPr>
        <w:jc w:val="both"/>
      </w:pPr>
      <w:r w:rsidRPr="00E05E1A">
        <w:rPr>
          <w:b/>
        </w:rPr>
        <w:t>Drop In cancellation</w:t>
      </w:r>
      <w:r>
        <w:t>. The reas</w:t>
      </w:r>
      <w:r w:rsidR="0005151C">
        <w:t>on for this was outlined to IM</w:t>
      </w:r>
      <w:r>
        <w:t xml:space="preserve"> and this was understood by him.</w:t>
      </w:r>
    </w:p>
    <w:p w:rsidR="00CF3F6B" w:rsidRDefault="00CF3F6B" w:rsidP="00F73A22">
      <w:pPr>
        <w:pStyle w:val="ListParagraph"/>
        <w:ind w:left="1440"/>
        <w:jc w:val="both"/>
      </w:pPr>
    </w:p>
    <w:p w:rsidR="00CF3F6B" w:rsidRDefault="00CF3F6B" w:rsidP="00F73A22">
      <w:pPr>
        <w:pStyle w:val="ListParagraph"/>
        <w:numPr>
          <w:ilvl w:val="1"/>
          <w:numId w:val="2"/>
        </w:numPr>
        <w:jc w:val="both"/>
      </w:pPr>
      <w:r w:rsidRPr="00E05E1A">
        <w:rPr>
          <w:b/>
        </w:rPr>
        <w:t xml:space="preserve">Village </w:t>
      </w:r>
      <w:r w:rsidR="009F2CF7">
        <w:rPr>
          <w:b/>
        </w:rPr>
        <w:t>Survey</w:t>
      </w:r>
      <w:r w:rsidRPr="00E05E1A">
        <w:rPr>
          <w:b/>
        </w:rPr>
        <w:t xml:space="preserve"> (April/May 2014).</w:t>
      </w:r>
      <w:r>
        <w:t xml:space="preserve"> A hard copy of this was handed over to IM. During the meeting he glanced at the Vision Statement and indicated that he would be offering constructive criticism. The refinement of this would release objectives for the NP. </w:t>
      </w:r>
      <w:r w:rsidRPr="00CF3F6B">
        <w:t>He advised that we should regard the Questionnaire as an informal consultation and that the response rate of 17.5% was quite reasonable.</w:t>
      </w:r>
    </w:p>
    <w:p w:rsidR="00CF3F6B" w:rsidRDefault="00CF3F6B" w:rsidP="00F73A22">
      <w:pPr>
        <w:pStyle w:val="ListParagraph"/>
        <w:jc w:val="both"/>
      </w:pPr>
    </w:p>
    <w:p w:rsidR="00CF3F6B" w:rsidRDefault="00CF3F6B" w:rsidP="00F73A22">
      <w:pPr>
        <w:pStyle w:val="ListParagraph"/>
        <w:numPr>
          <w:ilvl w:val="1"/>
          <w:numId w:val="2"/>
        </w:numPr>
        <w:jc w:val="both"/>
      </w:pPr>
      <w:r w:rsidRPr="009F2CF7">
        <w:rPr>
          <w:b/>
        </w:rPr>
        <w:t>Pre submission Consultation:</w:t>
      </w:r>
      <w:r w:rsidRPr="009F2CF7">
        <w:t xml:space="preserve"> I M advised that this is one of the most crucial stages in the NP process,  and constitutes the ’Formal Consultation’  </w:t>
      </w:r>
      <w:r w:rsidR="009F2CF7" w:rsidRPr="009F2CF7">
        <w:t xml:space="preserve">in the eyes of the inspector. </w:t>
      </w:r>
      <w:r w:rsidRPr="009F2CF7">
        <w:t xml:space="preserve">(NB </w:t>
      </w:r>
      <w:r w:rsidR="009F2CF7" w:rsidRPr="009F2CF7">
        <w:t>a</w:t>
      </w:r>
      <w:r w:rsidRPr="009F2CF7">
        <w:t xml:space="preserve"> summary of NP Planning Regulations for the Pre-Submission Consultation</w:t>
      </w:r>
      <w:r w:rsidR="009F2CF7" w:rsidRPr="009F2CF7">
        <w:t xml:space="preserve"> is attached at Appendix 2</w:t>
      </w:r>
      <w:r w:rsidRPr="009F2CF7">
        <w:t>)</w:t>
      </w:r>
      <w:r w:rsidR="009F2CF7">
        <w:t>.</w:t>
      </w:r>
    </w:p>
    <w:p w:rsidR="009B3F89" w:rsidRDefault="009B3F89" w:rsidP="00F73A22">
      <w:pPr>
        <w:pStyle w:val="ListParagraph"/>
        <w:jc w:val="both"/>
      </w:pPr>
    </w:p>
    <w:p w:rsidR="009B3F89" w:rsidRDefault="009B3F89" w:rsidP="00F73A22">
      <w:pPr>
        <w:pStyle w:val="ListParagraph"/>
        <w:numPr>
          <w:ilvl w:val="1"/>
          <w:numId w:val="2"/>
        </w:numPr>
        <w:jc w:val="both"/>
      </w:pPr>
      <w:r w:rsidRPr="00270E87">
        <w:rPr>
          <w:b/>
        </w:rPr>
        <w:t>Web site info</w:t>
      </w:r>
      <w:r>
        <w:t>. Screen</w:t>
      </w:r>
      <w:r w:rsidR="00496ED3">
        <w:t xml:space="preserve"> shots of the NP section could </w:t>
      </w:r>
      <w:r>
        <w:t>be included in the Pre submission Consultation.</w:t>
      </w:r>
    </w:p>
    <w:p w:rsidR="009F2CF7" w:rsidRDefault="009F2CF7" w:rsidP="00F73A22">
      <w:pPr>
        <w:pStyle w:val="ListParagraph"/>
        <w:jc w:val="both"/>
      </w:pPr>
    </w:p>
    <w:p w:rsidR="009F2CF7" w:rsidRDefault="009F2CF7" w:rsidP="00F73A22">
      <w:pPr>
        <w:pStyle w:val="ListParagraph"/>
        <w:numPr>
          <w:ilvl w:val="1"/>
          <w:numId w:val="2"/>
        </w:numPr>
        <w:jc w:val="both"/>
      </w:pPr>
      <w:r>
        <w:rPr>
          <w:b/>
        </w:rPr>
        <w:t>Further informal consultation:</w:t>
      </w:r>
      <w:r>
        <w:t xml:space="preserve"> IM advised that we would do well to run a further stage of informal consultation before going to the pre-submission phase</w:t>
      </w:r>
      <w:r w:rsidR="00BA40F3">
        <w:t xml:space="preserve"> (a ‘health check’)</w:t>
      </w:r>
      <w:r>
        <w:t xml:space="preserve">, once the outcome of the village survey has been taken on board and the NP drafted. Our planned drop in would be perfectly satisfactory. </w:t>
      </w:r>
      <w:r w:rsidRPr="009F2CF7">
        <w:t>Such further consultation would be regarded as good practice and commend our process to the inspector.</w:t>
      </w:r>
    </w:p>
    <w:p w:rsidR="00032B4C" w:rsidRDefault="00032B4C" w:rsidP="00F73A22">
      <w:pPr>
        <w:pStyle w:val="ListParagraph"/>
        <w:jc w:val="both"/>
      </w:pPr>
    </w:p>
    <w:p w:rsidR="00032B4C" w:rsidRPr="00032B4C" w:rsidRDefault="00032B4C" w:rsidP="00F73A22">
      <w:pPr>
        <w:pStyle w:val="ListParagraph"/>
        <w:numPr>
          <w:ilvl w:val="1"/>
          <w:numId w:val="2"/>
        </w:numPr>
        <w:jc w:val="both"/>
      </w:pPr>
      <w:r w:rsidRPr="00032B4C">
        <w:rPr>
          <w:b/>
        </w:rPr>
        <w:t>Linton:</w:t>
      </w:r>
      <w:r>
        <w:t xml:space="preserve"> Some interesting feedback to the recent publication of Linton’s draft NP emerged during the course of the meeting:</w:t>
      </w:r>
    </w:p>
    <w:p w:rsidR="00032B4C" w:rsidRPr="00032B4C" w:rsidRDefault="00032B4C" w:rsidP="00F73A22">
      <w:pPr>
        <w:pStyle w:val="ListParagraph"/>
        <w:jc w:val="both"/>
      </w:pPr>
    </w:p>
    <w:p w:rsidR="00032B4C" w:rsidRDefault="00032B4C" w:rsidP="00F73A22">
      <w:pPr>
        <w:pStyle w:val="ListParagraph"/>
        <w:numPr>
          <w:ilvl w:val="2"/>
          <w:numId w:val="2"/>
        </w:numPr>
        <w:jc w:val="both"/>
      </w:pPr>
      <w:r w:rsidRPr="00032B4C">
        <w:t xml:space="preserve"> </w:t>
      </w:r>
      <w:r>
        <w:t>Bardsey’s NP could be similar to Linton’s, but with significant differences</w:t>
      </w:r>
      <w:r w:rsidR="0005151C">
        <w:t>,</w:t>
      </w:r>
      <w:r>
        <w:t xml:space="preserve"> in that Bardsey is in the Settlement Hierarchy and Linton is not.</w:t>
      </w:r>
    </w:p>
    <w:p w:rsidR="00032B4C" w:rsidRDefault="00032B4C" w:rsidP="00F73A22">
      <w:pPr>
        <w:pStyle w:val="ListParagraph"/>
        <w:numPr>
          <w:ilvl w:val="2"/>
          <w:numId w:val="2"/>
        </w:numPr>
        <w:jc w:val="both"/>
      </w:pPr>
      <w:r>
        <w:t>LCC would clearly have preferred Linton to wait until the SHLAA site allocations plan had appeared.</w:t>
      </w:r>
    </w:p>
    <w:p w:rsidR="00032B4C" w:rsidRDefault="00032B4C" w:rsidP="00F73A22">
      <w:pPr>
        <w:pStyle w:val="ListParagraph"/>
        <w:numPr>
          <w:ilvl w:val="2"/>
          <w:numId w:val="2"/>
        </w:numPr>
        <w:jc w:val="both"/>
      </w:pPr>
      <w:r>
        <w:t xml:space="preserve">IM cautioned that due diligence </w:t>
      </w:r>
      <w:r w:rsidR="0005151C">
        <w:t xml:space="preserve">(or expert advice) </w:t>
      </w:r>
      <w:r>
        <w:t>is required in drafting planning policy sections, commenting that few of Linton’s p</w:t>
      </w:r>
      <w:r w:rsidR="0082165B">
        <w:t xml:space="preserve">lanning policies were </w:t>
      </w:r>
      <w:r w:rsidR="00EE2429">
        <w:t xml:space="preserve">in general conformity or capable of delivering what they set put to archive </w:t>
      </w:r>
      <w:r>
        <w:t>as drafted</w:t>
      </w:r>
      <w:r w:rsidR="0005151C">
        <w:t>.</w:t>
      </w:r>
    </w:p>
    <w:p w:rsidR="009B3F89" w:rsidRDefault="009B3F89" w:rsidP="00F73A22">
      <w:pPr>
        <w:pStyle w:val="ListParagraph"/>
        <w:ind w:left="2160"/>
        <w:jc w:val="both"/>
      </w:pPr>
    </w:p>
    <w:p w:rsidR="009B3F89" w:rsidRDefault="009B3F89" w:rsidP="00F73A22">
      <w:pPr>
        <w:pStyle w:val="ListParagraph"/>
        <w:numPr>
          <w:ilvl w:val="1"/>
          <w:numId w:val="2"/>
        </w:numPr>
        <w:jc w:val="both"/>
      </w:pPr>
      <w:r w:rsidRPr="00251D68">
        <w:rPr>
          <w:b/>
        </w:rPr>
        <w:t>Steering Group composition</w:t>
      </w:r>
      <w:r>
        <w:t xml:space="preserve">: IM regards </w:t>
      </w:r>
      <w:r w:rsidR="00631320">
        <w:t xml:space="preserve">the </w:t>
      </w:r>
      <w:r>
        <w:t>Bardsey</w:t>
      </w:r>
      <w:r w:rsidR="00631320">
        <w:t xml:space="preserve"> steering group</w:t>
      </w:r>
      <w:r>
        <w:t xml:space="preserve"> as having </w:t>
      </w:r>
      <w:r w:rsidR="00631320">
        <w:t xml:space="preserve">an appropriate balance between Parish </w:t>
      </w:r>
      <w:r>
        <w:t xml:space="preserve">Councillors and </w:t>
      </w:r>
      <w:r w:rsidR="00631320">
        <w:t>local residents</w:t>
      </w:r>
      <w:r>
        <w:t>.</w:t>
      </w:r>
    </w:p>
    <w:p w:rsidR="0005151C" w:rsidRDefault="0005151C" w:rsidP="00F73A22">
      <w:pPr>
        <w:pStyle w:val="ListParagraph"/>
        <w:ind w:left="2160"/>
        <w:jc w:val="both"/>
      </w:pPr>
    </w:p>
    <w:p w:rsidR="0005151C" w:rsidRDefault="0005151C" w:rsidP="00F73A22">
      <w:pPr>
        <w:pStyle w:val="ListParagraph"/>
        <w:numPr>
          <w:ilvl w:val="0"/>
          <w:numId w:val="2"/>
        </w:numPr>
        <w:jc w:val="both"/>
        <w:rPr>
          <w:b/>
        </w:rPr>
      </w:pPr>
      <w:r>
        <w:rPr>
          <w:b/>
        </w:rPr>
        <w:t>Housing Needs Survey</w:t>
      </w:r>
      <w:r w:rsidR="00251D68">
        <w:rPr>
          <w:b/>
        </w:rPr>
        <w:t xml:space="preserve"> Development</w:t>
      </w:r>
    </w:p>
    <w:p w:rsidR="0005151C" w:rsidRPr="0005151C" w:rsidRDefault="0005151C" w:rsidP="00F73A22">
      <w:pPr>
        <w:pStyle w:val="ListParagraph"/>
        <w:jc w:val="both"/>
        <w:rPr>
          <w:b/>
        </w:rPr>
      </w:pPr>
    </w:p>
    <w:p w:rsidR="0005151C" w:rsidRDefault="0005151C" w:rsidP="00F73A22">
      <w:pPr>
        <w:pStyle w:val="ListParagraph"/>
        <w:numPr>
          <w:ilvl w:val="1"/>
          <w:numId w:val="2"/>
        </w:numPr>
        <w:jc w:val="both"/>
      </w:pPr>
      <w:r w:rsidRPr="0005151C">
        <w:t xml:space="preserve"> </w:t>
      </w:r>
      <w:r w:rsidR="00662B1F">
        <w:t>IM reiterated that LCC is interested in all sites that the PC may wish to suggest, whether GB or not.</w:t>
      </w:r>
    </w:p>
    <w:p w:rsidR="00E926C4" w:rsidRDefault="00E926C4" w:rsidP="00F73A22">
      <w:pPr>
        <w:pStyle w:val="ListParagraph"/>
        <w:ind w:left="1440"/>
        <w:jc w:val="both"/>
      </w:pPr>
    </w:p>
    <w:p w:rsidR="00E926C4" w:rsidRDefault="00251D68" w:rsidP="00F73A22">
      <w:pPr>
        <w:pStyle w:val="ListParagraph"/>
        <w:numPr>
          <w:ilvl w:val="1"/>
          <w:numId w:val="2"/>
        </w:numPr>
        <w:jc w:val="both"/>
      </w:pPr>
      <w:r>
        <w:t>IM</w:t>
      </w:r>
      <w:r w:rsidR="00E926C4">
        <w:t xml:space="preserve"> indicated that Bardsey should </w:t>
      </w:r>
      <w:r w:rsidR="00EA214E">
        <w:t>consider the timeframe of the plan and consider possible sites in that context.</w:t>
      </w:r>
    </w:p>
    <w:p w:rsidR="00E926C4" w:rsidRDefault="00E926C4" w:rsidP="00F73A22">
      <w:pPr>
        <w:pStyle w:val="ListParagraph"/>
        <w:jc w:val="both"/>
      </w:pPr>
    </w:p>
    <w:p w:rsidR="00E926C4" w:rsidRDefault="00E926C4" w:rsidP="00F73A22">
      <w:pPr>
        <w:pStyle w:val="ListParagraph"/>
        <w:numPr>
          <w:ilvl w:val="1"/>
          <w:numId w:val="2"/>
        </w:numPr>
        <w:jc w:val="both"/>
      </w:pPr>
      <w:r>
        <w:t xml:space="preserve">The three known </w:t>
      </w:r>
      <w:r w:rsidR="00251D68">
        <w:t>potential</w:t>
      </w:r>
      <w:r>
        <w:t xml:space="preserve"> sites were discussed, i.e. SHLAA 1153 (Catholic Church), the Keswick Lane triangle, and the School. The focus of the discussion was on the School site.  The task of redeveloping and if necessary moving the school was discussed and LCC could assist with feasibility. IM didn’t regard the School site as a ‘long term objective’ beyond the HNS horizon, and thus sees it as </w:t>
      </w:r>
      <w:r w:rsidR="00BA0AC1">
        <w:t>being very much in the frame given support from the interested parties</w:t>
      </w:r>
      <w:r>
        <w:t>.</w:t>
      </w:r>
      <w:r w:rsidR="00BA0AC1">
        <w:t xml:space="preserve"> Cllr Gruen’s email calls for Steering Groups to submit any emerging site proposals, and IM recommended that Bardsey offer these sites up.</w:t>
      </w:r>
    </w:p>
    <w:p w:rsidR="00BA0AC1" w:rsidRDefault="00BA0AC1" w:rsidP="00F73A22">
      <w:pPr>
        <w:pStyle w:val="ListParagraph"/>
        <w:jc w:val="both"/>
      </w:pPr>
    </w:p>
    <w:p w:rsidR="00BA0AC1" w:rsidRDefault="00BA0AC1" w:rsidP="00F73A22">
      <w:pPr>
        <w:pStyle w:val="ListParagraph"/>
        <w:numPr>
          <w:ilvl w:val="1"/>
          <w:numId w:val="2"/>
        </w:numPr>
        <w:jc w:val="both"/>
      </w:pPr>
      <w:r>
        <w:t>A discussion took place of whether the NP would be part site specific/generic. IMCK was sympathetic to the dilemma but no real direction emerged.</w:t>
      </w:r>
    </w:p>
    <w:p w:rsidR="00251D68" w:rsidRDefault="00251D68" w:rsidP="00F73A22">
      <w:pPr>
        <w:pStyle w:val="ListParagraph"/>
        <w:jc w:val="both"/>
      </w:pPr>
    </w:p>
    <w:p w:rsidR="00251D68" w:rsidRDefault="00251D68" w:rsidP="00F73A22">
      <w:pPr>
        <w:pStyle w:val="ListParagraph"/>
        <w:numPr>
          <w:ilvl w:val="1"/>
          <w:numId w:val="2"/>
        </w:numPr>
        <w:jc w:val="both"/>
      </w:pPr>
      <w:r>
        <w:t xml:space="preserve">In the event that the SC wish to propose any specific </w:t>
      </w:r>
      <w:r w:rsidR="009B3F89">
        <w:t xml:space="preserve">exception </w:t>
      </w:r>
      <w:r>
        <w:t xml:space="preserve">site or sites within the existing green belt to achieve the HNS numbers, which would clearly </w:t>
      </w:r>
      <w:r w:rsidRPr="00251D68">
        <w:t>require changes to the existing GB boundary (there are 2 precedents for this since July 1984)</w:t>
      </w:r>
      <w:r w:rsidR="00D1087E">
        <w:t xml:space="preserve">. </w:t>
      </w:r>
      <w:r w:rsidR="00256EF4">
        <w:t>Such s</w:t>
      </w:r>
      <w:r w:rsidR="00D1087E">
        <w:t>ites within the GB can only be considered via the SAP process. It would be easier if these were identified before the end of September but they could be considered during the formal consultation on the SAP.</w:t>
      </w:r>
    </w:p>
    <w:p w:rsidR="008F4B13" w:rsidRDefault="008F4B13" w:rsidP="00F73A22">
      <w:pPr>
        <w:pStyle w:val="ListParagraph"/>
        <w:jc w:val="both"/>
      </w:pPr>
    </w:p>
    <w:p w:rsidR="008F4B13" w:rsidRDefault="008F4B13" w:rsidP="00F73A22">
      <w:pPr>
        <w:pStyle w:val="ListParagraph"/>
        <w:jc w:val="both"/>
      </w:pPr>
    </w:p>
    <w:p w:rsidR="008F4B13" w:rsidRDefault="008F4B13" w:rsidP="00F73A22">
      <w:pPr>
        <w:pStyle w:val="ListParagraph"/>
        <w:jc w:val="both"/>
      </w:pPr>
    </w:p>
    <w:p w:rsidR="008F4B13" w:rsidRDefault="008F4B13" w:rsidP="00F73A22">
      <w:pPr>
        <w:pStyle w:val="ListParagraph"/>
        <w:jc w:val="both"/>
      </w:pPr>
    </w:p>
    <w:p w:rsidR="008F4B13" w:rsidRDefault="008F4B13" w:rsidP="00F73A22">
      <w:pPr>
        <w:pStyle w:val="ListParagraph"/>
        <w:jc w:val="both"/>
      </w:pPr>
    </w:p>
    <w:p w:rsidR="008F4B13" w:rsidRDefault="008F4B13" w:rsidP="00F73A22">
      <w:pPr>
        <w:pStyle w:val="ListParagraph"/>
        <w:jc w:val="both"/>
      </w:pPr>
    </w:p>
    <w:p w:rsidR="008F4B13" w:rsidRDefault="008F4B13" w:rsidP="00F73A22">
      <w:pPr>
        <w:pStyle w:val="ListParagraph"/>
        <w:jc w:val="both"/>
      </w:pPr>
    </w:p>
    <w:p w:rsidR="007B26F8" w:rsidRDefault="007B26F8" w:rsidP="00F73A22">
      <w:pPr>
        <w:jc w:val="both"/>
      </w:pPr>
      <w:r>
        <w:br w:type="page"/>
      </w:r>
    </w:p>
    <w:p w:rsidR="008F4B13" w:rsidRDefault="008F4B13" w:rsidP="00F73A22">
      <w:pPr>
        <w:jc w:val="both"/>
      </w:pPr>
    </w:p>
    <w:p w:rsidR="008F4B13" w:rsidRPr="008F4B13" w:rsidRDefault="008F4B13" w:rsidP="00F73A22">
      <w:pPr>
        <w:autoSpaceDE w:val="0"/>
        <w:autoSpaceDN w:val="0"/>
        <w:adjustRightInd w:val="0"/>
        <w:spacing w:after="0" w:line="240" w:lineRule="auto"/>
        <w:jc w:val="both"/>
        <w:rPr>
          <w:rFonts w:cs="Arial"/>
          <w:b/>
          <w:u w:val="single"/>
        </w:rPr>
      </w:pPr>
      <w:r w:rsidRPr="008F4B13">
        <w:rPr>
          <w:rFonts w:cs="Arial"/>
          <w:b/>
          <w:u w:val="single"/>
        </w:rPr>
        <w:t>APPENDIX 1</w:t>
      </w:r>
    </w:p>
    <w:p w:rsidR="008F4B13" w:rsidRPr="008F4B13" w:rsidRDefault="008F4B13" w:rsidP="00F73A22">
      <w:pPr>
        <w:autoSpaceDE w:val="0"/>
        <w:autoSpaceDN w:val="0"/>
        <w:adjustRightInd w:val="0"/>
        <w:spacing w:after="0" w:line="240" w:lineRule="auto"/>
        <w:jc w:val="both"/>
        <w:rPr>
          <w:rFonts w:cs="Arial"/>
          <w:b/>
          <w:u w:val="single"/>
        </w:rPr>
      </w:pPr>
    </w:p>
    <w:p w:rsidR="008F4B13" w:rsidRPr="008F4B13" w:rsidRDefault="008F4B13" w:rsidP="00F73A22">
      <w:pPr>
        <w:autoSpaceDE w:val="0"/>
        <w:autoSpaceDN w:val="0"/>
        <w:adjustRightInd w:val="0"/>
        <w:spacing w:after="0" w:line="240" w:lineRule="auto"/>
        <w:jc w:val="both"/>
        <w:rPr>
          <w:rFonts w:cs="Arial"/>
          <w:b/>
          <w:u w:val="single"/>
        </w:rPr>
      </w:pPr>
      <w:r w:rsidRPr="008F4B13">
        <w:rPr>
          <w:rFonts w:cs="Arial"/>
          <w:b/>
          <w:u w:val="single"/>
        </w:rPr>
        <w:t>Potential stages for Neighbourhood Plan - based on the examples of Exeter</w:t>
      </w:r>
      <w:r>
        <w:rPr>
          <w:rFonts w:cs="Arial"/>
          <w:b/>
          <w:u w:val="single"/>
        </w:rPr>
        <w:t xml:space="preserve"> </w:t>
      </w:r>
      <w:r w:rsidRPr="008F4B13">
        <w:rPr>
          <w:rFonts w:cs="Arial"/>
          <w:b/>
          <w:u w:val="single"/>
        </w:rPr>
        <w:t xml:space="preserve">St James and Tattenhall </w:t>
      </w:r>
      <w:r>
        <w:rPr>
          <w:rFonts w:cs="Arial"/>
          <w:b/>
          <w:u w:val="single"/>
        </w:rPr>
        <w:t>Neig</w:t>
      </w:r>
      <w:r w:rsidRPr="008F4B13">
        <w:rPr>
          <w:rFonts w:cs="Arial"/>
          <w:b/>
          <w:u w:val="single"/>
        </w:rPr>
        <w:t>hbourhood Plans</w:t>
      </w:r>
    </w:p>
    <w:p w:rsidR="008F4B13" w:rsidRDefault="008F4B13" w:rsidP="00F73A22">
      <w:pPr>
        <w:autoSpaceDE w:val="0"/>
        <w:autoSpaceDN w:val="0"/>
        <w:adjustRightInd w:val="0"/>
        <w:spacing w:after="0" w:line="240" w:lineRule="auto"/>
        <w:jc w:val="both"/>
        <w:rPr>
          <w:rFonts w:cs="Arial"/>
        </w:rPr>
      </w:pPr>
    </w:p>
    <w:p w:rsidR="008F4B13" w:rsidRPr="008F4B13" w:rsidRDefault="008F4B13" w:rsidP="00F73A22">
      <w:pPr>
        <w:autoSpaceDE w:val="0"/>
        <w:autoSpaceDN w:val="0"/>
        <w:adjustRightInd w:val="0"/>
        <w:spacing w:after="0" w:line="240" w:lineRule="auto"/>
        <w:jc w:val="both"/>
        <w:rPr>
          <w:rFonts w:cs="Arial"/>
          <w:b/>
        </w:rPr>
      </w:pPr>
      <w:r w:rsidRPr="008F4B13">
        <w:rPr>
          <w:rFonts w:cs="Arial"/>
          <w:b/>
        </w:rPr>
        <w:t>a) with Judicial Review</w:t>
      </w:r>
    </w:p>
    <w:p w:rsid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Health check by City Council before submission of pre-submission draft NP</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 xml:space="preserve">Pre-submission draft </w:t>
      </w:r>
      <w:r>
        <w:rPr>
          <w:rFonts w:cs="Arial"/>
        </w:rPr>
        <w:t>consu</w:t>
      </w:r>
      <w:r w:rsidRPr="008F4B13">
        <w:rPr>
          <w:rFonts w:cs="Arial"/>
        </w:rPr>
        <w:t>ltation</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Analysis of comments</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Re-drafting</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Further consultation and redrafting?</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Approval for formal submission by Parish Council</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Submission to LPA</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 xml:space="preserve">Publicising submitted plan </w:t>
      </w:r>
      <w:r>
        <w:rPr>
          <w:rFonts w:cs="Arial"/>
        </w:rPr>
        <w:t>(LPA)(</w:t>
      </w:r>
      <w:r w:rsidRPr="008F4B13">
        <w:rPr>
          <w:rFonts w:cs="Arial"/>
        </w:rPr>
        <w:t>not less than 6 weeks)</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Organising examiner (LPA)</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Reps to Examiner (LPA)</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Examination</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Examiner's report - July 2014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 xml:space="preserve">LPA's response to examiners report to Exec Board - August </w:t>
      </w:r>
      <w:r>
        <w:rPr>
          <w:rFonts w:cs="Arial"/>
        </w:rPr>
        <w:t>201</w:t>
      </w:r>
      <w:r w:rsidRPr="008F4B13">
        <w:rPr>
          <w:rFonts w:cs="Arial"/>
        </w:rPr>
        <w:t>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Publicise Examiners report, LPA's response, modifications (if any) and decision statement</w:t>
      </w:r>
      <w:r>
        <w:rPr>
          <w:rFonts w:cs="Arial"/>
        </w:rPr>
        <w:t xml:space="preserve"> </w:t>
      </w:r>
      <w:r w:rsidRPr="008F4B13">
        <w:rPr>
          <w:rFonts w:cs="Arial"/>
        </w:rPr>
        <w:t>(LPA) &amp; organise Referendum - August/September 2014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Referendum - October 2013</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Judicial Review? - Tattenhall's took 7 months - October 20L4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 xml:space="preserve">Plan 'made' by the </w:t>
      </w:r>
      <w:r>
        <w:rPr>
          <w:rFonts w:cs="Arial"/>
        </w:rPr>
        <w:t>LPA</w:t>
      </w:r>
      <w:r w:rsidRPr="008F4B13">
        <w:rPr>
          <w:rFonts w:cs="Arial"/>
        </w:rPr>
        <w:t xml:space="preserve"> May 2015</w:t>
      </w:r>
    </w:p>
    <w:p w:rsidR="008F4B13" w:rsidRDefault="008F4B13" w:rsidP="00F73A22">
      <w:pPr>
        <w:pStyle w:val="ListParagraph"/>
        <w:jc w:val="both"/>
        <w:rPr>
          <w:rFonts w:cs="Arial"/>
        </w:rPr>
      </w:pPr>
    </w:p>
    <w:p w:rsidR="008F4B13" w:rsidRDefault="008F4B13" w:rsidP="00F73A22">
      <w:pPr>
        <w:pStyle w:val="ListParagraph"/>
        <w:ind w:left="0"/>
        <w:jc w:val="both"/>
        <w:rPr>
          <w:rFonts w:cs="Arial"/>
        </w:rPr>
      </w:pPr>
      <w:r w:rsidRPr="008F4B13">
        <w:rPr>
          <w:rFonts w:cs="Arial"/>
        </w:rPr>
        <w:t>Publicise the NP (LPA)</w:t>
      </w:r>
      <w:r>
        <w:rPr>
          <w:rFonts w:cs="Arial"/>
        </w:rPr>
        <w:t xml:space="preserve"> </w:t>
      </w:r>
      <w:r w:rsidRPr="008F4B13">
        <w:rPr>
          <w:rFonts w:cs="Arial"/>
        </w:rPr>
        <w:t>- May 2015</w:t>
      </w:r>
    </w:p>
    <w:p w:rsidR="008F4B13" w:rsidRDefault="008F4B13" w:rsidP="00F73A22">
      <w:pPr>
        <w:pStyle w:val="ListParagraph"/>
        <w:ind w:left="0"/>
        <w:jc w:val="both"/>
        <w:rPr>
          <w:rFonts w:cs="Arial"/>
        </w:rPr>
      </w:pPr>
    </w:p>
    <w:p w:rsidR="008F4B13" w:rsidRPr="008F4B13" w:rsidRDefault="008F4B13" w:rsidP="00F73A22">
      <w:pPr>
        <w:autoSpaceDE w:val="0"/>
        <w:autoSpaceDN w:val="0"/>
        <w:adjustRightInd w:val="0"/>
        <w:spacing w:after="0" w:line="240" w:lineRule="auto"/>
        <w:jc w:val="both"/>
        <w:rPr>
          <w:rFonts w:cs="Arial"/>
          <w:b/>
        </w:rPr>
      </w:pPr>
      <w:r w:rsidRPr="008F4B13">
        <w:rPr>
          <w:rFonts w:cs="Arial"/>
          <w:b/>
        </w:rPr>
        <w:t>b) without Judicial Review</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Health check by City Council before submission of pre-submission draft NP - April 2014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lastRenderedPageBreak/>
        <w:t>Pre-submission draft consultation - May - June 2014</w:t>
      </w:r>
    </w:p>
    <w:p w:rsidR="00C701E8" w:rsidRPr="008F4B13" w:rsidRDefault="00C701E8"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Analysis of comments - July 2014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 xml:space="preserve">Re-drafting - </w:t>
      </w:r>
      <w:r>
        <w:rPr>
          <w:rFonts w:cs="Arial"/>
        </w:rPr>
        <w:t>July 201</w:t>
      </w:r>
      <w:r w:rsidRPr="008F4B13">
        <w:rPr>
          <w:rFonts w:cs="Arial"/>
        </w:rPr>
        <w:t>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Further consultation and redrafting?</w:t>
      </w:r>
      <w:r w:rsidR="00C701E8">
        <w:rPr>
          <w:rFonts w:cs="Arial"/>
        </w:rPr>
        <w:t xml:space="preserve"> </w:t>
      </w:r>
      <w:r w:rsidRPr="008F4B13">
        <w:rPr>
          <w:rFonts w:cs="Arial"/>
        </w:rPr>
        <w:t>- August 2014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 xml:space="preserve">Approval for formal submission by Parish Council - </w:t>
      </w:r>
      <w:r w:rsidR="00C701E8">
        <w:rPr>
          <w:rFonts w:cs="Arial"/>
        </w:rPr>
        <w:t>September 201</w:t>
      </w:r>
      <w:r w:rsidRPr="008F4B13">
        <w:rPr>
          <w:rFonts w:cs="Arial"/>
        </w:rPr>
        <w:t>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 xml:space="preserve">Submission to LPA - September </w:t>
      </w:r>
      <w:r w:rsidR="00C701E8">
        <w:rPr>
          <w:rFonts w:cs="Arial"/>
        </w:rPr>
        <w:t>201</w:t>
      </w:r>
      <w:r w:rsidRPr="008F4B13">
        <w:rPr>
          <w:rFonts w:cs="Arial"/>
        </w:rPr>
        <w:t>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Publicising submitted plan (LPA)</w:t>
      </w:r>
      <w:r w:rsidR="00C701E8">
        <w:rPr>
          <w:rFonts w:cs="Arial"/>
        </w:rPr>
        <w:t xml:space="preserve"> </w:t>
      </w:r>
      <w:r w:rsidRPr="008F4B13">
        <w:rPr>
          <w:rFonts w:cs="Arial"/>
        </w:rPr>
        <w:t>(not less than 6 weeks) - October 2014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Organising examiner (LPA) - October 2014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Reps to Examiner (LPA)</w:t>
      </w:r>
      <w:r w:rsidR="00C701E8">
        <w:rPr>
          <w:rFonts w:cs="Arial"/>
        </w:rPr>
        <w:t xml:space="preserve"> </w:t>
      </w:r>
      <w:r w:rsidRPr="008F4B13">
        <w:rPr>
          <w:rFonts w:cs="Arial"/>
        </w:rPr>
        <w:t>- December 2014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 xml:space="preserve">Examination - December </w:t>
      </w:r>
      <w:r w:rsidR="00C701E8">
        <w:rPr>
          <w:rFonts w:cs="Arial"/>
        </w:rPr>
        <w:t>201</w:t>
      </w:r>
      <w:r w:rsidRPr="008F4B13">
        <w:rPr>
          <w:rFonts w:cs="Arial"/>
        </w:rPr>
        <w:t>4</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Examiner's report - January 2015</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LPA's response to examiners report to Exec Board - February 2015</w:t>
      </w:r>
    </w:p>
    <w:p w:rsidR="008F4B13" w:rsidRPr="008F4B13" w:rsidRDefault="008F4B13" w:rsidP="00F73A22">
      <w:pPr>
        <w:autoSpaceDE w:val="0"/>
        <w:autoSpaceDN w:val="0"/>
        <w:adjustRightInd w:val="0"/>
        <w:spacing w:after="0" w:line="240" w:lineRule="auto"/>
        <w:jc w:val="both"/>
        <w:rPr>
          <w:rFonts w:cs="Arial"/>
        </w:rPr>
      </w:pPr>
    </w:p>
    <w:p w:rsidR="008F4B13" w:rsidRPr="008F4B13" w:rsidRDefault="008F4B13" w:rsidP="00F73A22">
      <w:pPr>
        <w:autoSpaceDE w:val="0"/>
        <w:autoSpaceDN w:val="0"/>
        <w:adjustRightInd w:val="0"/>
        <w:spacing w:after="0" w:line="240" w:lineRule="auto"/>
        <w:jc w:val="both"/>
        <w:rPr>
          <w:rFonts w:cs="Arial"/>
        </w:rPr>
      </w:pPr>
      <w:r w:rsidRPr="008F4B13">
        <w:rPr>
          <w:rFonts w:cs="Arial"/>
        </w:rPr>
        <w:t>Publicise Examiners report, LPA's response, modifications (if any) and decision statement</w:t>
      </w:r>
    </w:p>
    <w:p w:rsidR="008F4B13" w:rsidRDefault="008F4B13" w:rsidP="00F73A22">
      <w:pPr>
        <w:autoSpaceDE w:val="0"/>
        <w:autoSpaceDN w:val="0"/>
        <w:adjustRightInd w:val="0"/>
        <w:spacing w:after="0" w:line="240" w:lineRule="auto"/>
        <w:jc w:val="both"/>
        <w:rPr>
          <w:rFonts w:cs="Arial"/>
        </w:rPr>
      </w:pPr>
      <w:r w:rsidRPr="008F4B13">
        <w:rPr>
          <w:rFonts w:cs="Arial"/>
        </w:rPr>
        <w:t>(LPA) &amp; organise Referendum - February 2015</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Referendum - March 2015</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autoSpaceDE w:val="0"/>
        <w:autoSpaceDN w:val="0"/>
        <w:adjustRightInd w:val="0"/>
        <w:spacing w:after="0" w:line="240" w:lineRule="auto"/>
        <w:jc w:val="both"/>
        <w:rPr>
          <w:rFonts w:cs="Arial"/>
        </w:rPr>
      </w:pPr>
      <w:r w:rsidRPr="008F4B13">
        <w:rPr>
          <w:rFonts w:cs="Arial"/>
        </w:rPr>
        <w:t>Plan 'made' by the LPA - May 2015</w:t>
      </w:r>
    </w:p>
    <w:p w:rsidR="008F4B13" w:rsidRPr="008F4B13" w:rsidRDefault="008F4B13" w:rsidP="00F73A22">
      <w:pPr>
        <w:autoSpaceDE w:val="0"/>
        <w:autoSpaceDN w:val="0"/>
        <w:adjustRightInd w:val="0"/>
        <w:spacing w:after="0" w:line="240" w:lineRule="auto"/>
        <w:jc w:val="both"/>
        <w:rPr>
          <w:rFonts w:cs="Arial"/>
        </w:rPr>
      </w:pPr>
    </w:p>
    <w:p w:rsidR="008F4B13" w:rsidRDefault="008F4B13" w:rsidP="00F73A22">
      <w:pPr>
        <w:pStyle w:val="ListParagraph"/>
        <w:ind w:left="0"/>
        <w:jc w:val="both"/>
        <w:rPr>
          <w:rFonts w:cs="Arial"/>
        </w:rPr>
      </w:pPr>
      <w:r w:rsidRPr="008F4B13">
        <w:rPr>
          <w:rFonts w:cs="Arial"/>
        </w:rPr>
        <w:t>Publicise the NP (LPA)</w:t>
      </w:r>
      <w:r w:rsidR="00C701E8">
        <w:rPr>
          <w:rFonts w:cs="Arial"/>
        </w:rPr>
        <w:t xml:space="preserve"> </w:t>
      </w:r>
      <w:r w:rsidRPr="008F4B13">
        <w:rPr>
          <w:rFonts w:cs="Arial"/>
        </w:rPr>
        <w:t>- May 2015</w:t>
      </w:r>
    </w:p>
    <w:p w:rsidR="007B26F8" w:rsidRDefault="007B26F8" w:rsidP="00F73A22">
      <w:pPr>
        <w:jc w:val="both"/>
        <w:rPr>
          <w:rFonts w:cs="Arial"/>
        </w:rPr>
      </w:pPr>
      <w:r>
        <w:rPr>
          <w:rFonts w:cs="Arial"/>
        </w:rPr>
        <w:br w:type="page"/>
      </w:r>
    </w:p>
    <w:p w:rsidR="00596143" w:rsidRPr="007B26F8" w:rsidRDefault="007B26F8" w:rsidP="00F73A22">
      <w:pPr>
        <w:pStyle w:val="ListParagraph"/>
        <w:ind w:left="0"/>
        <w:jc w:val="both"/>
        <w:rPr>
          <w:rFonts w:cs="Arial"/>
          <w:b/>
          <w:u w:val="single"/>
        </w:rPr>
      </w:pPr>
      <w:r w:rsidRPr="007B26F8">
        <w:rPr>
          <w:rFonts w:cs="Arial"/>
          <w:b/>
          <w:u w:val="single"/>
        </w:rPr>
        <w:lastRenderedPageBreak/>
        <w:t>APPENDIX 2</w:t>
      </w:r>
    </w:p>
    <w:p w:rsidR="007B26F8" w:rsidRPr="007B26F8" w:rsidRDefault="007B26F8" w:rsidP="00F73A22">
      <w:pPr>
        <w:autoSpaceDE w:val="0"/>
        <w:autoSpaceDN w:val="0"/>
        <w:adjustRightInd w:val="0"/>
        <w:spacing w:after="0" w:line="240" w:lineRule="auto"/>
        <w:jc w:val="both"/>
        <w:rPr>
          <w:rFonts w:cs="Arial"/>
          <w:b/>
          <w:sz w:val="32"/>
          <w:szCs w:val="32"/>
        </w:rPr>
      </w:pPr>
      <w:r w:rsidRPr="007B26F8">
        <w:rPr>
          <w:rFonts w:cs="Arial"/>
          <w:b/>
          <w:sz w:val="32"/>
          <w:szCs w:val="32"/>
        </w:rPr>
        <w:t>Bringing the</w:t>
      </w:r>
      <w:r>
        <w:rPr>
          <w:rFonts w:cs="Arial"/>
          <w:b/>
          <w:sz w:val="32"/>
          <w:szCs w:val="32"/>
        </w:rPr>
        <w:t xml:space="preserve"> </w:t>
      </w:r>
      <w:r w:rsidRPr="007B26F8">
        <w:rPr>
          <w:rFonts w:cs="Arial"/>
          <w:b/>
          <w:sz w:val="32"/>
          <w:szCs w:val="32"/>
        </w:rPr>
        <w:t>Plan into Force</w:t>
      </w:r>
    </w:p>
    <w:p w:rsidR="007B26F8" w:rsidRPr="007B26F8" w:rsidRDefault="007B26F8" w:rsidP="00F73A22">
      <w:pPr>
        <w:autoSpaceDE w:val="0"/>
        <w:autoSpaceDN w:val="0"/>
        <w:adjustRightInd w:val="0"/>
        <w:spacing w:after="0" w:line="240" w:lineRule="auto"/>
        <w:jc w:val="both"/>
        <w:rPr>
          <w:rFonts w:cs="Arial"/>
          <w:b/>
          <w:sz w:val="32"/>
          <w:szCs w:val="32"/>
        </w:rPr>
      </w:pPr>
    </w:p>
    <w:p w:rsidR="007B26F8" w:rsidRPr="007B26F8" w:rsidRDefault="007B26F8" w:rsidP="00F73A22">
      <w:pPr>
        <w:autoSpaceDE w:val="0"/>
        <w:autoSpaceDN w:val="0"/>
        <w:adjustRightInd w:val="0"/>
        <w:spacing w:after="0" w:line="240" w:lineRule="auto"/>
        <w:jc w:val="both"/>
        <w:rPr>
          <w:rFonts w:cs="Arial"/>
          <w:b/>
          <w:sz w:val="32"/>
          <w:szCs w:val="32"/>
        </w:rPr>
      </w:pPr>
      <w:r w:rsidRPr="007B26F8">
        <w:rPr>
          <w:rFonts w:cs="Arial"/>
          <w:b/>
          <w:sz w:val="32"/>
          <w:szCs w:val="32"/>
        </w:rPr>
        <w:t>Pre-Submission Consultation</w:t>
      </w:r>
    </w:p>
    <w:p w:rsidR="007B26F8" w:rsidRPr="007B26F8" w:rsidRDefault="007B26F8" w:rsidP="00F73A22">
      <w:pPr>
        <w:autoSpaceDE w:val="0"/>
        <w:autoSpaceDN w:val="0"/>
        <w:adjustRightInd w:val="0"/>
        <w:spacing w:after="0" w:line="240" w:lineRule="auto"/>
        <w:jc w:val="both"/>
        <w:rPr>
          <w:rFonts w:cs="Arial"/>
        </w:rPr>
      </w:pPr>
    </w:p>
    <w:p w:rsidR="007B26F8" w:rsidRDefault="007B26F8" w:rsidP="00F73A22">
      <w:pPr>
        <w:autoSpaceDE w:val="0"/>
        <w:autoSpaceDN w:val="0"/>
        <w:adjustRightInd w:val="0"/>
        <w:spacing w:after="0" w:line="240" w:lineRule="auto"/>
        <w:jc w:val="both"/>
        <w:rPr>
          <w:rFonts w:cs="Arial"/>
        </w:rPr>
      </w:pPr>
      <w:r w:rsidRPr="007B26F8">
        <w:rPr>
          <w:rFonts w:cs="Arial"/>
        </w:rPr>
        <w:t>The Neighbourhood Planning regulations require the proposed plan to be the subject</w:t>
      </w:r>
      <w:r>
        <w:rPr>
          <w:rFonts w:cs="Arial"/>
        </w:rPr>
        <w:t xml:space="preserve"> </w:t>
      </w:r>
      <w:r w:rsidRPr="007B26F8">
        <w:rPr>
          <w:rFonts w:cs="Arial"/>
        </w:rPr>
        <w:t>of a 6-week consultation before it is submitted to the local authority for independent</w:t>
      </w:r>
      <w:r>
        <w:rPr>
          <w:rFonts w:cs="Arial"/>
        </w:rPr>
        <w:t xml:space="preserve"> </w:t>
      </w:r>
      <w:r w:rsidRPr="007B26F8">
        <w:rPr>
          <w:rFonts w:cs="Arial"/>
        </w:rPr>
        <w:t xml:space="preserve">examination. </w:t>
      </w:r>
      <w:r>
        <w:rPr>
          <w:rFonts w:cs="Arial"/>
        </w:rPr>
        <w:t xml:space="preserve">The </w:t>
      </w:r>
      <w:r w:rsidRPr="007B26F8">
        <w:rPr>
          <w:rFonts w:cs="Arial"/>
        </w:rPr>
        <w:t>requirement includes the following:</w:t>
      </w:r>
      <w:r>
        <w:rPr>
          <w:rFonts w:cs="Arial"/>
        </w:rPr>
        <w:t xml:space="preserve"> </w:t>
      </w:r>
    </w:p>
    <w:p w:rsidR="007B26F8" w:rsidRDefault="007B26F8" w:rsidP="00F73A22">
      <w:pPr>
        <w:autoSpaceDE w:val="0"/>
        <w:autoSpaceDN w:val="0"/>
        <w:adjustRightInd w:val="0"/>
        <w:spacing w:after="0" w:line="240" w:lineRule="auto"/>
        <w:jc w:val="both"/>
        <w:rPr>
          <w:rFonts w:cs="Arial"/>
        </w:rPr>
      </w:pPr>
    </w:p>
    <w:p w:rsidR="007B26F8" w:rsidRPr="007B26F8" w:rsidRDefault="00557AD0" w:rsidP="00F73A22">
      <w:pPr>
        <w:pStyle w:val="ListParagraph"/>
        <w:numPr>
          <w:ilvl w:val="0"/>
          <w:numId w:val="3"/>
        </w:numPr>
        <w:autoSpaceDE w:val="0"/>
        <w:autoSpaceDN w:val="0"/>
        <w:adjustRightInd w:val="0"/>
        <w:spacing w:after="0" w:line="240" w:lineRule="auto"/>
        <w:jc w:val="both"/>
        <w:rPr>
          <w:rFonts w:cs="Arial"/>
        </w:rPr>
      </w:pPr>
      <w:r w:rsidRPr="007B26F8">
        <w:rPr>
          <w:rFonts w:cs="Arial"/>
        </w:rPr>
        <w:t>Publicise</w:t>
      </w:r>
      <w:r w:rsidR="007B26F8" w:rsidRPr="007B26F8">
        <w:rPr>
          <w:rFonts w:cs="Arial"/>
        </w:rPr>
        <w:t xml:space="preserve"> the plan in a manner which brings it to the attention of people who live,</w:t>
      </w:r>
      <w:r w:rsidR="007B26F8">
        <w:rPr>
          <w:rFonts w:cs="Arial"/>
        </w:rPr>
        <w:t xml:space="preserve"> </w:t>
      </w:r>
      <w:r w:rsidR="007B26F8" w:rsidRPr="007B26F8">
        <w:rPr>
          <w:rFonts w:cs="Arial"/>
        </w:rPr>
        <w:t>work or run businesses in the neighbourhood area. This should include details of</w:t>
      </w:r>
      <w:r w:rsidR="007B26F8">
        <w:rPr>
          <w:rFonts w:cs="Arial"/>
        </w:rPr>
        <w:t xml:space="preserve"> </w:t>
      </w:r>
      <w:r w:rsidR="007B26F8" w:rsidRPr="007B26F8">
        <w:rPr>
          <w:rFonts w:cs="Arial"/>
        </w:rPr>
        <w:t>the proposed Neighbourhood Plan, details of where and when it may be viewed,</w:t>
      </w:r>
      <w:r w:rsidR="007B26F8">
        <w:rPr>
          <w:rFonts w:cs="Arial"/>
        </w:rPr>
        <w:t xml:space="preserve"> </w:t>
      </w:r>
      <w:r w:rsidR="007B26F8" w:rsidRPr="007B26F8">
        <w:rPr>
          <w:rFonts w:cs="Arial"/>
        </w:rPr>
        <w:t>details on how to make comments on the plan and the date by which comments</w:t>
      </w:r>
      <w:r w:rsidR="007B26F8">
        <w:rPr>
          <w:rFonts w:cs="Arial"/>
        </w:rPr>
        <w:t xml:space="preserve"> </w:t>
      </w:r>
      <w:r w:rsidR="007B26F8" w:rsidRPr="007B26F8">
        <w:rPr>
          <w:rFonts w:cs="Arial"/>
        </w:rPr>
        <w:t>must be received (at least 6 weeks from the date on which it is first publicised).</w:t>
      </w:r>
    </w:p>
    <w:p w:rsidR="007B26F8" w:rsidRPr="007B26F8" w:rsidRDefault="007B26F8" w:rsidP="00F73A22">
      <w:pPr>
        <w:autoSpaceDE w:val="0"/>
        <w:autoSpaceDN w:val="0"/>
        <w:adjustRightInd w:val="0"/>
        <w:spacing w:after="0" w:line="240" w:lineRule="auto"/>
        <w:jc w:val="both"/>
        <w:rPr>
          <w:rFonts w:cs="Arial"/>
        </w:rPr>
      </w:pPr>
    </w:p>
    <w:p w:rsidR="007B26F8" w:rsidRPr="00557AD0" w:rsidRDefault="00557AD0" w:rsidP="00F73A22">
      <w:pPr>
        <w:pStyle w:val="ListParagraph"/>
        <w:numPr>
          <w:ilvl w:val="0"/>
          <w:numId w:val="3"/>
        </w:numPr>
        <w:autoSpaceDE w:val="0"/>
        <w:autoSpaceDN w:val="0"/>
        <w:adjustRightInd w:val="0"/>
        <w:spacing w:after="0" w:line="240" w:lineRule="auto"/>
        <w:jc w:val="both"/>
        <w:rPr>
          <w:rFonts w:cs="Arial"/>
        </w:rPr>
      </w:pPr>
      <w:r w:rsidRPr="00557AD0">
        <w:rPr>
          <w:rFonts w:cs="Arial"/>
        </w:rPr>
        <w:t>Consult</w:t>
      </w:r>
      <w:r w:rsidR="007B26F8" w:rsidRPr="00557AD0">
        <w:rPr>
          <w:rFonts w:cs="Arial"/>
        </w:rPr>
        <w:t xml:space="preserve"> statutory consultation bodies whose interests may be affected by the plan.</w:t>
      </w:r>
      <w:r>
        <w:rPr>
          <w:rFonts w:cs="Arial"/>
        </w:rPr>
        <w:t xml:space="preserve"> </w:t>
      </w:r>
      <w:r w:rsidR="007B26F8" w:rsidRPr="00557AD0">
        <w:rPr>
          <w:rFonts w:cs="Arial"/>
        </w:rPr>
        <w:t>The local council should be able to advise on this, but it includes the county council</w:t>
      </w:r>
      <w:r>
        <w:rPr>
          <w:rFonts w:cs="Arial"/>
        </w:rPr>
        <w:t xml:space="preserve"> </w:t>
      </w:r>
      <w:r w:rsidR="007B26F8" w:rsidRPr="00557AD0">
        <w:rPr>
          <w:rFonts w:cs="Arial"/>
        </w:rPr>
        <w:t>(if applicable), the Environment Agency, Natural England and English Heritage.</w:t>
      </w:r>
    </w:p>
    <w:p w:rsidR="00557AD0" w:rsidRPr="007B26F8" w:rsidRDefault="00557AD0" w:rsidP="00F73A22">
      <w:pPr>
        <w:autoSpaceDE w:val="0"/>
        <w:autoSpaceDN w:val="0"/>
        <w:adjustRightInd w:val="0"/>
        <w:spacing w:after="0" w:line="240" w:lineRule="auto"/>
        <w:jc w:val="both"/>
        <w:rPr>
          <w:rFonts w:cs="Arial"/>
        </w:rPr>
      </w:pPr>
    </w:p>
    <w:p w:rsidR="007B26F8" w:rsidRDefault="00557AD0" w:rsidP="00F73A22">
      <w:pPr>
        <w:pStyle w:val="ListParagraph"/>
        <w:numPr>
          <w:ilvl w:val="0"/>
          <w:numId w:val="3"/>
        </w:numPr>
        <w:autoSpaceDE w:val="0"/>
        <w:autoSpaceDN w:val="0"/>
        <w:adjustRightInd w:val="0"/>
        <w:spacing w:after="0" w:line="240" w:lineRule="auto"/>
        <w:jc w:val="both"/>
        <w:rPr>
          <w:rFonts w:cs="Arial"/>
        </w:rPr>
      </w:pPr>
      <w:r>
        <w:rPr>
          <w:rFonts w:cs="Arial"/>
        </w:rPr>
        <w:t>S</w:t>
      </w:r>
      <w:r w:rsidR="007B26F8" w:rsidRPr="00557AD0">
        <w:rPr>
          <w:rFonts w:cs="Arial"/>
        </w:rPr>
        <w:t>end a copy of the proposed plan to the local authority.</w:t>
      </w:r>
      <w:r>
        <w:rPr>
          <w:rFonts w:cs="Arial"/>
        </w:rPr>
        <w:t xml:space="preserve"> </w:t>
      </w:r>
      <w:r w:rsidR="007B26F8" w:rsidRPr="00557AD0">
        <w:rPr>
          <w:rFonts w:cs="Arial"/>
        </w:rPr>
        <w:t>It is also advisable to consult any neighbouring local, town or parish councils,</w:t>
      </w:r>
      <w:r>
        <w:rPr>
          <w:rFonts w:cs="Arial"/>
        </w:rPr>
        <w:t xml:space="preserve"> </w:t>
      </w:r>
      <w:r w:rsidR="007B26F8" w:rsidRPr="00557AD0">
        <w:rPr>
          <w:rFonts w:cs="Arial"/>
        </w:rPr>
        <w:t>significant landowners, local businesses and local community organisations,</w:t>
      </w:r>
      <w:r>
        <w:rPr>
          <w:rFonts w:cs="Arial"/>
        </w:rPr>
        <w:t xml:space="preserve"> </w:t>
      </w:r>
      <w:r w:rsidR="007B26F8" w:rsidRPr="00557AD0">
        <w:rPr>
          <w:rFonts w:cs="Arial"/>
        </w:rPr>
        <w:t>such as chambers of commerce, civic societies and local trusts.</w:t>
      </w:r>
      <w:r>
        <w:rPr>
          <w:rFonts w:cs="Arial"/>
        </w:rPr>
        <w:t xml:space="preserve"> </w:t>
      </w:r>
      <w:r w:rsidR="007B26F8" w:rsidRPr="00557AD0">
        <w:rPr>
          <w:rFonts w:cs="Arial"/>
        </w:rPr>
        <w:t>Any comments received should be considered and,</w:t>
      </w:r>
      <w:r>
        <w:rPr>
          <w:rFonts w:cs="Arial"/>
        </w:rPr>
        <w:t xml:space="preserve"> </w:t>
      </w:r>
      <w:r w:rsidR="007B26F8" w:rsidRPr="00557AD0">
        <w:rPr>
          <w:rFonts w:cs="Arial"/>
        </w:rPr>
        <w:t>where necessary, the proposed Neighbourhood</w:t>
      </w:r>
      <w:r>
        <w:rPr>
          <w:rFonts w:cs="Arial"/>
        </w:rPr>
        <w:t xml:space="preserve"> </w:t>
      </w:r>
      <w:r w:rsidR="007B26F8" w:rsidRPr="00557AD0">
        <w:rPr>
          <w:rFonts w:cs="Arial"/>
        </w:rPr>
        <w:t>Plan should be amended.</w:t>
      </w:r>
      <w:r>
        <w:rPr>
          <w:rFonts w:cs="Arial"/>
        </w:rPr>
        <w:t xml:space="preserve"> </w:t>
      </w:r>
      <w:r w:rsidR="007B26F8" w:rsidRPr="00557AD0">
        <w:rPr>
          <w:rFonts w:cs="Arial"/>
        </w:rPr>
        <w:t>A brief report should be produced, summarising</w:t>
      </w:r>
      <w:r>
        <w:rPr>
          <w:rFonts w:cs="Arial"/>
        </w:rPr>
        <w:t xml:space="preserve"> </w:t>
      </w:r>
      <w:r w:rsidR="007B26F8" w:rsidRPr="00557AD0">
        <w:rPr>
          <w:rFonts w:cs="Arial"/>
        </w:rPr>
        <w:t>comments received and describing if and how the</w:t>
      </w:r>
      <w:r>
        <w:rPr>
          <w:rFonts w:cs="Arial"/>
        </w:rPr>
        <w:t xml:space="preserve"> </w:t>
      </w:r>
      <w:r w:rsidR="007B26F8" w:rsidRPr="00557AD0">
        <w:rPr>
          <w:rFonts w:cs="Arial"/>
        </w:rPr>
        <w:t xml:space="preserve">plan has been modified in response to </w:t>
      </w:r>
      <w:r>
        <w:rPr>
          <w:rFonts w:cs="Arial"/>
        </w:rPr>
        <w:t xml:space="preserve">the </w:t>
      </w:r>
      <w:r w:rsidR="007B26F8" w:rsidRPr="00557AD0">
        <w:rPr>
          <w:rFonts w:cs="Arial"/>
        </w:rPr>
        <w:t>issues raised.</w:t>
      </w:r>
    </w:p>
    <w:p w:rsidR="00557AD0" w:rsidRPr="00557AD0" w:rsidRDefault="00557AD0" w:rsidP="00F73A22">
      <w:pPr>
        <w:pStyle w:val="ListParagraph"/>
        <w:jc w:val="both"/>
        <w:rPr>
          <w:rFonts w:cs="Arial"/>
        </w:rPr>
      </w:pPr>
    </w:p>
    <w:p w:rsidR="007B26F8" w:rsidRPr="00557AD0" w:rsidRDefault="007B26F8" w:rsidP="00F73A22">
      <w:pPr>
        <w:pStyle w:val="ListParagraph"/>
        <w:numPr>
          <w:ilvl w:val="0"/>
          <w:numId w:val="3"/>
        </w:numPr>
        <w:autoSpaceDE w:val="0"/>
        <w:autoSpaceDN w:val="0"/>
        <w:adjustRightInd w:val="0"/>
        <w:spacing w:after="0" w:line="240" w:lineRule="auto"/>
        <w:jc w:val="both"/>
        <w:rPr>
          <w:rFonts w:cs="Arial"/>
        </w:rPr>
      </w:pPr>
      <w:r w:rsidRPr="00557AD0">
        <w:rPr>
          <w:rFonts w:cs="Arial"/>
        </w:rPr>
        <w:t>Possible options for fulfilling the above requirements include:</w:t>
      </w:r>
    </w:p>
    <w:p w:rsidR="00557AD0" w:rsidRPr="007B26F8" w:rsidRDefault="00557AD0" w:rsidP="00F73A22">
      <w:pPr>
        <w:autoSpaceDE w:val="0"/>
        <w:autoSpaceDN w:val="0"/>
        <w:adjustRightInd w:val="0"/>
        <w:spacing w:after="0" w:line="240" w:lineRule="auto"/>
        <w:jc w:val="both"/>
        <w:rPr>
          <w:rFonts w:cs="Arial"/>
        </w:rPr>
      </w:pPr>
    </w:p>
    <w:p w:rsidR="007B26F8" w:rsidRDefault="007B26F8" w:rsidP="00F73A22">
      <w:pPr>
        <w:pStyle w:val="ListParagraph"/>
        <w:numPr>
          <w:ilvl w:val="1"/>
          <w:numId w:val="3"/>
        </w:numPr>
        <w:autoSpaceDE w:val="0"/>
        <w:autoSpaceDN w:val="0"/>
        <w:adjustRightInd w:val="0"/>
        <w:spacing w:after="0" w:line="240" w:lineRule="auto"/>
        <w:jc w:val="both"/>
        <w:rPr>
          <w:rFonts w:cs="Arial"/>
        </w:rPr>
      </w:pPr>
      <w:r w:rsidRPr="00557AD0">
        <w:rPr>
          <w:rFonts w:cs="Arial"/>
        </w:rPr>
        <w:t>. putting the plan on the Neighbourhood Plan website if there</w:t>
      </w:r>
      <w:r w:rsidR="00557AD0">
        <w:rPr>
          <w:rFonts w:cs="Arial"/>
        </w:rPr>
        <w:t xml:space="preserve"> </w:t>
      </w:r>
      <w:r w:rsidRPr="00557AD0">
        <w:rPr>
          <w:rFonts w:cs="Arial"/>
        </w:rPr>
        <w:t>is one</w:t>
      </w:r>
    </w:p>
    <w:p w:rsidR="007B26F8" w:rsidRDefault="007B26F8" w:rsidP="00F73A22">
      <w:pPr>
        <w:pStyle w:val="ListParagraph"/>
        <w:numPr>
          <w:ilvl w:val="1"/>
          <w:numId w:val="3"/>
        </w:numPr>
        <w:autoSpaceDE w:val="0"/>
        <w:autoSpaceDN w:val="0"/>
        <w:adjustRightInd w:val="0"/>
        <w:spacing w:after="0" w:line="240" w:lineRule="auto"/>
        <w:jc w:val="both"/>
        <w:rPr>
          <w:rFonts w:cs="Arial"/>
        </w:rPr>
      </w:pPr>
      <w:r w:rsidRPr="00557AD0">
        <w:rPr>
          <w:rFonts w:cs="Arial"/>
        </w:rPr>
        <w:t>asking the local authority to publish it on their website</w:t>
      </w:r>
    </w:p>
    <w:p w:rsidR="00557AD0" w:rsidRDefault="007B26F8" w:rsidP="00F73A22">
      <w:pPr>
        <w:pStyle w:val="ListParagraph"/>
        <w:numPr>
          <w:ilvl w:val="1"/>
          <w:numId w:val="3"/>
        </w:numPr>
        <w:autoSpaceDE w:val="0"/>
        <w:autoSpaceDN w:val="0"/>
        <w:adjustRightInd w:val="0"/>
        <w:spacing w:after="0" w:line="240" w:lineRule="auto"/>
        <w:jc w:val="both"/>
        <w:rPr>
          <w:rFonts w:cs="Arial"/>
        </w:rPr>
      </w:pPr>
      <w:r w:rsidRPr="00557AD0">
        <w:rPr>
          <w:rFonts w:cs="Arial"/>
        </w:rPr>
        <w:t>placing copies of the plan in key public buildings,</w:t>
      </w:r>
      <w:r w:rsidR="00557AD0">
        <w:rPr>
          <w:rFonts w:cs="Arial"/>
        </w:rPr>
        <w:t xml:space="preserve"> </w:t>
      </w:r>
      <w:r w:rsidRPr="00557AD0">
        <w:rPr>
          <w:rFonts w:cs="Arial"/>
        </w:rPr>
        <w:t>such as libraries, community centres or council offices</w:t>
      </w:r>
    </w:p>
    <w:p w:rsidR="007B26F8" w:rsidRDefault="007B26F8" w:rsidP="00F73A22">
      <w:pPr>
        <w:pStyle w:val="ListParagraph"/>
        <w:numPr>
          <w:ilvl w:val="1"/>
          <w:numId w:val="3"/>
        </w:numPr>
        <w:autoSpaceDE w:val="0"/>
        <w:autoSpaceDN w:val="0"/>
        <w:adjustRightInd w:val="0"/>
        <w:spacing w:after="0" w:line="240" w:lineRule="auto"/>
        <w:jc w:val="both"/>
        <w:rPr>
          <w:rFonts w:cs="Arial"/>
        </w:rPr>
      </w:pPr>
      <w:r w:rsidRPr="00557AD0">
        <w:rPr>
          <w:rFonts w:cs="Arial"/>
        </w:rPr>
        <w:t>placing copies of the plan in important local businesses,</w:t>
      </w:r>
      <w:r w:rsidR="00557AD0">
        <w:rPr>
          <w:rFonts w:cs="Arial"/>
        </w:rPr>
        <w:t xml:space="preserve"> </w:t>
      </w:r>
      <w:r w:rsidRPr="00557AD0">
        <w:rPr>
          <w:rFonts w:cs="Arial"/>
        </w:rPr>
        <w:t>such as shopping centres or supermarkets</w:t>
      </w:r>
    </w:p>
    <w:p w:rsidR="00557AD0" w:rsidRDefault="00557AD0" w:rsidP="00F73A22">
      <w:pPr>
        <w:pStyle w:val="ListParagraph"/>
        <w:autoSpaceDE w:val="0"/>
        <w:autoSpaceDN w:val="0"/>
        <w:adjustRightInd w:val="0"/>
        <w:spacing w:after="0" w:line="240" w:lineRule="auto"/>
        <w:ind w:left="1440"/>
        <w:jc w:val="both"/>
        <w:rPr>
          <w:rFonts w:cs="Arial"/>
        </w:rPr>
      </w:pPr>
    </w:p>
    <w:p w:rsidR="007B26F8" w:rsidRDefault="007B26F8" w:rsidP="00F73A22">
      <w:pPr>
        <w:pStyle w:val="ListParagraph"/>
        <w:numPr>
          <w:ilvl w:val="0"/>
          <w:numId w:val="3"/>
        </w:numPr>
        <w:autoSpaceDE w:val="0"/>
        <w:autoSpaceDN w:val="0"/>
        <w:adjustRightInd w:val="0"/>
        <w:spacing w:after="0" w:line="240" w:lineRule="auto"/>
        <w:jc w:val="both"/>
        <w:rPr>
          <w:rFonts w:cs="Arial"/>
        </w:rPr>
      </w:pPr>
      <w:r w:rsidRPr="00557AD0">
        <w:rPr>
          <w:rFonts w:cs="Arial"/>
        </w:rPr>
        <w:t>Many people will not want to read through the whole document,</w:t>
      </w:r>
      <w:r w:rsidR="00557AD0">
        <w:rPr>
          <w:rFonts w:cs="Arial"/>
        </w:rPr>
        <w:t xml:space="preserve"> </w:t>
      </w:r>
      <w:r w:rsidRPr="00557AD0">
        <w:rPr>
          <w:rFonts w:cs="Arial"/>
        </w:rPr>
        <w:t>so it may be useful to produce a simple leaflet or display boards</w:t>
      </w:r>
      <w:r w:rsidR="00557AD0">
        <w:rPr>
          <w:rFonts w:cs="Arial"/>
        </w:rPr>
        <w:t xml:space="preserve"> </w:t>
      </w:r>
      <w:r w:rsidRPr="00557AD0">
        <w:rPr>
          <w:rFonts w:cs="Arial"/>
        </w:rPr>
        <w:t>that set out the main aims and main focus of policies in the plan</w:t>
      </w:r>
      <w:r w:rsidR="00557AD0">
        <w:rPr>
          <w:rFonts w:cs="Arial"/>
        </w:rPr>
        <w:t>.</w:t>
      </w:r>
    </w:p>
    <w:p w:rsidR="00557AD0" w:rsidRPr="00557AD0" w:rsidRDefault="00557AD0" w:rsidP="00F73A22">
      <w:pPr>
        <w:autoSpaceDE w:val="0"/>
        <w:autoSpaceDN w:val="0"/>
        <w:adjustRightInd w:val="0"/>
        <w:spacing w:after="0" w:line="240" w:lineRule="auto"/>
        <w:jc w:val="both"/>
        <w:rPr>
          <w:rFonts w:cs="Arial"/>
        </w:rPr>
      </w:pPr>
    </w:p>
    <w:p w:rsidR="007B26F8" w:rsidRPr="00557AD0" w:rsidRDefault="007B26F8" w:rsidP="00F73A22">
      <w:pPr>
        <w:autoSpaceDE w:val="0"/>
        <w:autoSpaceDN w:val="0"/>
        <w:adjustRightInd w:val="0"/>
        <w:spacing w:after="0" w:line="240" w:lineRule="auto"/>
        <w:jc w:val="both"/>
        <w:rPr>
          <w:rFonts w:cs="Arial"/>
          <w:b/>
          <w:u w:val="single"/>
        </w:rPr>
      </w:pPr>
      <w:r w:rsidRPr="00557AD0">
        <w:rPr>
          <w:rFonts w:cs="Arial"/>
          <w:b/>
          <w:u w:val="single"/>
        </w:rPr>
        <w:t>The Consultation Statement</w:t>
      </w:r>
    </w:p>
    <w:p w:rsidR="00557AD0" w:rsidRDefault="00557AD0" w:rsidP="00F73A22">
      <w:pPr>
        <w:autoSpaceDE w:val="0"/>
        <w:autoSpaceDN w:val="0"/>
        <w:adjustRightInd w:val="0"/>
        <w:spacing w:after="0" w:line="240" w:lineRule="auto"/>
        <w:jc w:val="both"/>
        <w:rPr>
          <w:rFonts w:cs="Arial"/>
        </w:rPr>
      </w:pPr>
    </w:p>
    <w:p w:rsidR="007B26F8" w:rsidRPr="007B26F8" w:rsidRDefault="00557AD0" w:rsidP="00F73A22">
      <w:pPr>
        <w:autoSpaceDE w:val="0"/>
        <w:autoSpaceDN w:val="0"/>
        <w:adjustRightInd w:val="0"/>
        <w:spacing w:after="0" w:line="240" w:lineRule="auto"/>
        <w:jc w:val="both"/>
        <w:rPr>
          <w:rFonts w:cs="Arial"/>
        </w:rPr>
      </w:pPr>
      <w:r>
        <w:rPr>
          <w:rFonts w:cs="Arial"/>
        </w:rPr>
        <w:t>The focus of the consultation</w:t>
      </w:r>
      <w:r w:rsidR="007B26F8" w:rsidRPr="007B26F8">
        <w:rPr>
          <w:rFonts w:cs="Arial"/>
        </w:rPr>
        <w:t xml:space="preserve"> statement is on the 6 week statutory consultation.</w:t>
      </w:r>
      <w:r>
        <w:rPr>
          <w:rFonts w:cs="Arial"/>
        </w:rPr>
        <w:t xml:space="preserve"> </w:t>
      </w:r>
      <w:r w:rsidR="007B26F8" w:rsidRPr="007B26F8">
        <w:rPr>
          <w:rFonts w:cs="Arial"/>
        </w:rPr>
        <w:t>However, it is also useful</w:t>
      </w:r>
      <w:r>
        <w:rPr>
          <w:rFonts w:cs="Arial"/>
        </w:rPr>
        <w:t xml:space="preserve"> </w:t>
      </w:r>
      <w:r w:rsidR="007B26F8" w:rsidRPr="007B26F8">
        <w:rPr>
          <w:rFonts w:cs="Arial"/>
        </w:rPr>
        <w:t xml:space="preserve">to include a summary of previous </w:t>
      </w:r>
      <w:r w:rsidRPr="007B26F8">
        <w:rPr>
          <w:rFonts w:cs="Arial"/>
        </w:rPr>
        <w:t>consultation</w:t>
      </w:r>
      <w:r w:rsidR="007B26F8" w:rsidRPr="007B26F8">
        <w:rPr>
          <w:rFonts w:cs="Arial"/>
        </w:rPr>
        <w:t xml:space="preserve"> that has been</w:t>
      </w:r>
      <w:r>
        <w:rPr>
          <w:rFonts w:cs="Arial"/>
        </w:rPr>
        <w:t xml:space="preserve"> </w:t>
      </w:r>
      <w:r w:rsidR="007B26F8" w:rsidRPr="007B26F8">
        <w:rPr>
          <w:rFonts w:cs="Arial"/>
        </w:rPr>
        <w:t xml:space="preserve">undertaken and how </w:t>
      </w:r>
      <w:r>
        <w:rPr>
          <w:rFonts w:cs="Arial"/>
        </w:rPr>
        <w:t xml:space="preserve">this </w:t>
      </w:r>
      <w:r w:rsidR="007B26F8" w:rsidRPr="007B26F8">
        <w:rPr>
          <w:rFonts w:cs="Arial"/>
        </w:rPr>
        <w:t>info</w:t>
      </w:r>
      <w:r>
        <w:rPr>
          <w:rFonts w:cs="Arial"/>
        </w:rPr>
        <w:t>r</w:t>
      </w:r>
      <w:r w:rsidR="007B26F8" w:rsidRPr="007B26F8">
        <w:rPr>
          <w:rFonts w:cs="Arial"/>
        </w:rPr>
        <w:t>med the content of the plan.</w:t>
      </w:r>
      <w:r>
        <w:rPr>
          <w:rFonts w:cs="Arial"/>
        </w:rPr>
        <w:t xml:space="preserve"> </w:t>
      </w:r>
      <w:r w:rsidR="007B26F8" w:rsidRPr="007B26F8">
        <w:rPr>
          <w:rFonts w:cs="Arial"/>
        </w:rPr>
        <w:t>The consultation statement should contain the following:</w:t>
      </w:r>
    </w:p>
    <w:p w:rsidR="00557AD0" w:rsidRDefault="00557AD0" w:rsidP="00F73A22">
      <w:pPr>
        <w:autoSpaceDE w:val="0"/>
        <w:autoSpaceDN w:val="0"/>
        <w:adjustRightInd w:val="0"/>
        <w:spacing w:after="0" w:line="240" w:lineRule="auto"/>
        <w:jc w:val="both"/>
        <w:rPr>
          <w:rFonts w:cs="Arial"/>
        </w:rPr>
      </w:pPr>
    </w:p>
    <w:p w:rsidR="00557AD0" w:rsidRDefault="00557AD0" w:rsidP="00F73A22">
      <w:pPr>
        <w:pStyle w:val="ListParagraph"/>
        <w:numPr>
          <w:ilvl w:val="0"/>
          <w:numId w:val="4"/>
        </w:numPr>
        <w:autoSpaceDE w:val="0"/>
        <w:autoSpaceDN w:val="0"/>
        <w:adjustRightInd w:val="0"/>
        <w:spacing w:after="0" w:line="240" w:lineRule="auto"/>
        <w:jc w:val="both"/>
        <w:rPr>
          <w:rFonts w:cs="Arial"/>
        </w:rPr>
      </w:pPr>
      <w:r>
        <w:rPr>
          <w:rFonts w:cs="Arial"/>
        </w:rPr>
        <w:t>D</w:t>
      </w:r>
      <w:r w:rsidR="007B26F8" w:rsidRPr="00557AD0">
        <w:rPr>
          <w:rFonts w:cs="Arial"/>
        </w:rPr>
        <w:t>etails of people and organisations consulted about the proposed Neighbourhood Plan</w:t>
      </w:r>
    </w:p>
    <w:p w:rsidR="00557AD0" w:rsidRDefault="00557AD0" w:rsidP="00F73A22">
      <w:pPr>
        <w:pStyle w:val="ListParagraph"/>
        <w:autoSpaceDE w:val="0"/>
        <w:autoSpaceDN w:val="0"/>
        <w:adjustRightInd w:val="0"/>
        <w:spacing w:after="0" w:line="240" w:lineRule="auto"/>
        <w:jc w:val="both"/>
        <w:rPr>
          <w:rFonts w:cs="Arial"/>
        </w:rPr>
      </w:pPr>
    </w:p>
    <w:p w:rsidR="007B26F8" w:rsidRPr="00557AD0" w:rsidRDefault="00557AD0" w:rsidP="00F73A22">
      <w:pPr>
        <w:pStyle w:val="ListParagraph"/>
        <w:numPr>
          <w:ilvl w:val="0"/>
          <w:numId w:val="4"/>
        </w:numPr>
        <w:autoSpaceDE w:val="0"/>
        <w:autoSpaceDN w:val="0"/>
        <w:adjustRightInd w:val="0"/>
        <w:spacing w:after="0" w:line="240" w:lineRule="auto"/>
        <w:jc w:val="both"/>
        <w:rPr>
          <w:rFonts w:cs="Arial"/>
        </w:rPr>
      </w:pPr>
      <w:r>
        <w:rPr>
          <w:rFonts w:cs="Arial"/>
        </w:rPr>
        <w:t>D</w:t>
      </w:r>
      <w:r w:rsidR="007B26F8" w:rsidRPr="00557AD0">
        <w:rPr>
          <w:rFonts w:cs="Arial"/>
        </w:rPr>
        <w:t>etails of how they were consulted</w:t>
      </w:r>
    </w:p>
    <w:p w:rsidR="007B26F8" w:rsidRDefault="00557AD0" w:rsidP="00F73A22">
      <w:pPr>
        <w:pStyle w:val="ListParagraph"/>
        <w:numPr>
          <w:ilvl w:val="0"/>
          <w:numId w:val="4"/>
        </w:numPr>
        <w:autoSpaceDE w:val="0"/>
        <w:autoSpaceDN w:val="0"/>
        <w:adjustRightInd w:val="0"/>
        <w:spacing w:after="0" w:line="240" w:lineRule="auto"/>
        <w:jc w:val="both"/>
        <w:rPr>
          <w:rFonts w:cs="Arial"/>
        </w:rPr>
      </w:pPr>
      <w:r>
        <w:rPr>
          <w:rFonts w:cs="Arial"/>
        </w:rPr>
        <w:lastRenderedPageBreak/>
        <w:t>A</w:t>
      </w:r>
      <w:r w:rsidR="007B26F8" w:rsidRPr="00557AD0">
        <w:rPr>
          <w:rFonts w:cs="Arial"/>
        </w:rPr>
        <w:t xml:space="preserve"> summary of the main issues and concerns raised through the consultation process</w:t>
      </w:r>
    </w:p>
    <w:p w:rsidR="00557AD0" w:rsidRPr="00557AD0" w:rsidRDefault="00557AD0" w:rsidP="00F73A22">
      <w:pPr>
        <w:pStyle w:val="ListParagraph"/>
        <w:autoSpaceDE w:val="0"/>
        <w:autoSpaceDN w:val="0"/>
        <w:adjustRightInd w:val="0"/>
        <w:spacing w:after="0" w:line="240" w:lineRule="auto"/>
        <w:jc w:val="both"/>
        <w:rPr>
          <w:rFonts w:cs="Arial"/>
        </w:rPr>
      </w:pPr>
    </w:p>
    <w:p w:rsidR="007B26F8" w:rsidRPr="00557AD0" w:rsidRDefault="00557AD0" w:rsidP="00F73A22">
      <w:pPr>
        <w:pStyle w:val="ListParagraph"/>
        <w:numPr>
          <w:ilvl w:val="0"/>
          <w:numId w:val="4"/>
        </w:numPr>
        <w:autoSpaceDE w:val="0"/>
        <w:autoSpaceDN w:val="0"/>
        <w:adjustRightInd w:val="0"/>
        <w:spacing w:after="0" w:line="240" w:lineRule="auto"/>
        <w:jc w:val="both"/>
        <w:rPr>
          <w:rFonts w:cs="Arial"/>
        </w:rPr>
      </w:pPr>
      <w:r w:rsidRPr="00557AD0">
        <w:rPr>
          <w:rFonts w:cs="Arial"/>
        </w:rPr>
        <w:t>D</w:t>
      </w:r>
      <w:r w:rsidR="007B26F8" w:rsidRPr="00557AD0">
        <w:rPr>
          <w:rFonts w:cs="Arial"/>
        </w:rPr>
        <w:t>escriptions of how these issues and concerns were considered and addressed in</w:t>
      </w:r>
      <w:r>
        <w:rPr>
          <w:rFonts w:cs="Arial"/>
        </w:rPr>
        <w:t xml:space="preserve"> </w:t>
      </w:r>
      <w:r w:rsidR="007B26F8" w:rsidRPr="00557AD0">
        <w:rPr>
          <w:rFonts w:cs="Arial"/>
        </w:rPr>
        <w:t>the proposed Neighbourhood Plan</w:t>
      </w:r>
    </w:p>
    <w:p w:rsidR="0073043E" w:rsidRDefault="0073043E" w:rsidP="00F73A22">
      <w:pPr>
        <w:autoSpaceDE w:val="0"/>
        <w:autoSpaceDN w:val="0"/>
        <w:adjustRightInd w:val="0"/>
        <w:spacing w:after="0" w:line="240" w:lineRule="auto"/>
        <w:jc w:val="both"/>
        <w:rPr>
          <w:rFonts w:cs="Arial"/>
        </w:rPr>
      </w:pPr>
    </w:p>
    <w:p w:rsidR="00596143" w:rsidRPr="0073043E" w:rsidRDefault="007B26F8" w:rsidP="00F73A22">
      <w:pPr>
        <w:autoSpaceDE w:val="0"/>
        <w:autoSpaceDN w:val="0"/>
        <w:adjustRightInd w:val="0"/>
        <w:spacing w:after="0" w:line="240" w:lineRule="auto"/>
        <w:jc w:val="both"/>
        <w:rPr>
          <w:rFonts w:cs="Arial"/>
        </w:rPr>
      </w:pPr>
      <w:r w:rsidRPr="007B26F8">
        <w:rPr>
          <w:rFonts w:cs="Arial"/>
        </w:rPr>
        <w:t xml:space="preserve">Essentially, this is about demonstrating that there has been proper </w:t>
      </w:r>
      <w:r w:rsidR="0073043E">
        <w:rPr>
          <w:rFonts w:cs="Arial"/>
        </w:rPr>
        <w:t xml:space="preserve">community </w:t>
      </w:r>
      <w:r w:rsidRPr="007B26F8">
        <w:rPr>
          <w:rFonts w:cs="Arial"/>
        </w:rPr>
        <w:t xml:space="preserve">engagement and that it has informed the content of the plan. </w:t>
      </w:r>
      <w:r w:rsidR="0073043E">
        <w:rPr>
          <w:rFonts w:cs="Arial"/>
        </w:rPr>
        <w:t>I</w:t>
      </w:r>
      <w:r w:rsidR="0073043E" w:rsidRPr="007B26F8">
        <w:rPr>
          <w:rFonts w:cs="Arial"/>
        </w:rPr>
        <w:t>t</w:t>
      </w:r>
      <w:r w:rsidRPr="007B26F8">
        <w:rPr>
          <w:rFonts w:cs="Arial"/>
        </w:rPr>
        <w:t xml:space="preserve"> also makes it clear and</w:t>
      </w:r>
      <w:r w:rsidR="0073043E">
        <w:rPr>
          <w:rFonts w:cs="Arial"/>
        </w:rPr>
        <w:t xml:space="preserve"> </w:t>
      </w:r>
      <w:r w:rsidRPr="007B26F8">
        <w:rPr>
          <w:rFonts w:cs="Arial"/>
        </w:rPr>
        <w:t>transparent that those producing the plan have sought to address the issues raised</w:t>
      </w:r>
      <w:r w:rsidR="0073043E">
        <w:rPr>
          <w:rFonts w:cs="Arial"/>
        </w:rPr>
        <w:t xml:space="preserve"> </w:t>
      </w:r>
      <w:r w:rsidRPr="007B26F8">
        <w:rPr>
          <w:rFonts w:cs="Arial"/>
        </w:rPr>
        <w:t xml:space="preserve">during the </w:t>
      </w:r>
      <w:r w:rsidR="0073043E" w:rsidRPr="007B26F8">
        <w:rPr>
          <w:rFonts w:cs="Arial"/>
        </w:rPr>
        <w:t>consultation</w:t>
      </w:r>
      <w:r w:rsidRPr="007B26F8">
        <w:rPr>
          <w:rFonts w:cs="Arial"/>
        </w:rPr>
        <w:t xml:space="preserve"> process</w:t>
      </w:r>
      <w:r w:rsidR="0073043E">
        <w:rPr>
          <w:rFonts w:cs="Arial"/>
        </w:rPr>
        <w:t>.</w:t>
      </w:r>
    </w:p>
    <w:sectPr w:rsidR="00596143" w:rsidRPr="0073043E" w:rsidSect="00F958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5DC7"/>
    <w:multiLevelType w:val="hybridMultilevel"/>
    <w:tmpl w:val="44EEB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B0E3D"/>
    <w:multiLevelType w:val="hybridMultilevel"/>
    <w:tmpl w:val="E7CC10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00936AB"/>
    <w:multiLevelType w:val="hybridMultilevel"/>
    <w:tmpl w:val="66FAE3D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B536DB"/>
    <w:multiLevelType w:val="hybridMultilevel"/>
    <w:tmpl w:val="7C5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8276A"/>
    <w:rsid w:val="0002313D"/>
    <w:rsid w:val="00030D66"/>
    <w:rsid w:val="00032B4C"/>
    <w:rsid w:val="0003474F"/>
    <w:rsid w:val="0005151C"/>
    <w:rsid w:val="000B6776"/>
    <w:rsid w:val="000C4D57"/>
    <w:rsid w:val="000E5EBA"/>
    <w:rsid w:val="000E7830"/>
    <w:rsid w:val="000F4F46"/>
    <w:rsid w:val="0013295B"/>
    <w:rsid w:val="00165137"/>
    <w:rsid w:val="00194FF6"/>
    <w:rsid w:val="001E4C68"/>
    <w:rsid w:val="001F476F"/>
    <w:rsid w:val="002511C3"/>
    <w:rsid w:val="00251D68"/>
    <w:rsid w:val="00256EF4"/>
    <w:rsid w:val="00270E87"/>
    <w:rsid w:val="0028117D"/>
    <w:rsid w:val="0029101A"/>
    <w:rsid w:val="00295853"/>
    <w:rsid w:val="002A35D6"/>
    <w:rsid w:val="002C29E0"/>
    <w:rsid w:val="00376DEF"/>
    <w:rsid w:val="00393D68"/>
    <w:rsid w:val="003B20B0"/>
    <w:rsid w:val="003C0161"/>
    <w:rsid w:val="0040434F"/>
    <w:rsid w:val="00431E2E"/>
    <w:rsid w:val="004341E5"/>
    <w:rsid w:val="00440162"/>
    <w:rsid w:val="00441D4E"/>
    <w:rsid w:val="00455CAF"/>
    <w:rsid w:val="004731AA"/>
    <w:rsid w:val="004958D4"/>
    <w:rsid w:val="00496ED3"/>
    <w:rsid w:val="004A4F73"/>
    <w:rsid w:val="005249E3"/>
    <w:rsid w:val="00557AD0"/>
    <w:rsid w:val="00596143"/>
    <w:rsid w:val="005A223A"/>
    <w:rsid w:val="005C5E54"/>
    <w:rsid w:val="005E4977"/>
    <w:rsid w:val="00613D54"/>
    <w:rsid w:val="00631320"/>
    <w:rsid w:val="00631D22"/>
    <w:rsid w:val="00662B1F"/>
    <w:rsid w:val="00662B80"/>
    <w:rsid w:val="0068276A"/>
    <w:rsid w:val="00690519"/>
    <w:rsid w:val="006C5862"/>
    <w:rsid w:val="006E08F1"/>
    <w:rsid w:val="00705AEC"/>
    <w:rsid w:val="007208CE"/>
    <w:rsid w:val="00721343"/>
    <w:rsid w:val="0073043E"/>
    <w:rsid w:val="00731775"/>
    <w:rsid w:val="0075403E"/>
    <w:rsid w:val="007601C7"/>
    <w:rsid w:val="007876E4"/>
    <w:rsid w:val="00792152"/>
    <w:rsid w:val="007B26F8"/>
    <w:rsid w:val="007D305C"/>
    <w:rsid w:val="007D35F4"/>
    <w:rsid w:val="007E4443"/>
    <w:rsid w:val="008030D3"/>
    <w:rsid w:val="0082165B"/>
    <w:rsid w:val="00823E28"/>
    <w:rsid w:val="00826670"/>
    <w:rsid w:val="00865860"/>
    <w:rsid w:val="008714EE"/>
    <w:rsid w:val="00872213"/>
    <w:rsid w:val="00891246"/>
    <w:rsid w:val="0089182D"/>
    <w:rsid w:val="00893248"/>
    <w:rsid w:val="008955C5"/>
    <w:rsid w:val="008B43E2"/>
    <w:rsid w:val="008D27F4"/>
    <w:rsid w:val="008D67FF"/>
    <w:rsid w:val="008D7B20"/>
    <w:rsid w:val="008E06C6"/>
    <w:rsid w:val="008E1CC4"/>
    <w:rsid w:val="008F4B13"/>
    <w:rsid w:val="009060B2"/>
    <w:rsid w:val="009151C2"/>
    <w:rsid w:val="00930613"/>
    <w:rsid w:val="009349F9"/>
    <w:rsid w:val="009368C9"/>
    <w:rsid w:val="0095649C"/>
    <w:rsid w:val="00973820"/>
    <w:rsid w:val="00976D9B"/>
    <w:rsid w:val="009B3269"/>
    <w:rsid w:val="009B3F89"/>
    <w:rsid w:val="009C356C"/>
    <w:rsid w:val="009D1CEB"/>
    <w:rsid w:val="009D677A"/>
    <w:rsid w:val="009E1156"/>
    <w:rsid w:val="009E5121"/>
    <w:rsid w:val="009F2CF7"/>
    <w:rsid w:val="009F3F24"/>
    <w:rsid w:val="00A14CA6"/>
    <w:rsid w:val="00A171C8"/>
    <w:rsid w:val="00A335D5"/>
    <w:rsid w:val="00A565A6"/>
    <w:rsid w:val="00A648E1"/>
    <w:rsid w:val="00A82241"/>
    <w:rsid w:val="00A9678F"/>
    <w:rsid w:val="00AB6E72"/>
    <w:rsid w:val="00AC012E"/>
    <w:rsid w:val="00AC1525"/>
    <w:rsid w:val="00AD1F86"/>
    <w:rsid w:val="00B104C9"/>
    <w:rsid w:val="00B1634D"/>
    <w:rsid w:val="00B21D37"/>
    <w:rsid w:val="00B86778"/>
    <w:rsid w:val="00BA0AC1"/>
    <w:rsid w:val="00BA40F3"/>
    <w:rsid w:val="00C2226F"/>
    <w:rsid w:val="00C24CCA"/>
    <w:rsid w:val="00C33D49"/>
    <w:rsid w:val="00C36B27"/>
    <w:rsid w:val="00C43ED0"/>
    <w:rsid w:val="00C51B1D"/>
    <w:rsid w:val="00C63913"/>
    <w:rsid w:val="00C701E8"/>
    <w:rsid w:val="00C80119"/>
    <w:rsid w:val="00C840BD"/>
    <w:rsid w:val="00CA4838"/>
    <w:rsid w:val="00CD56AE"/>
    <w:rsid w:val="00CE59DC"/>
    <w:rsid w:val="00CF3F6B"/>
    <w:rsid w:val="00CF5CFC"/>
    <w:rsid w:val="00D0098A"/>
    <w:rsid w:val="00D05CB2"/>
    <w:rsid w:val="00D1087E"/>
    <w:rsid w:val="00D1586B"/>
    <w:rsid w:val="00D16A2B"/>
    <w:rsid w:val="00D603E9"/>
    <w:rsid w:val="00D6550D"/>
    <w:rsid w:val="00D84075"/>
    <w:rsid w:val="00D91201"/>
    <w:rsid w:val="00D91D5B"/>
    <w:rsid w:val="00DA7E9F"/>
    <w:rsid w:val="00DD57FC"/>
    <w:rsid w:val="00DF3D37"/>
    <w:rsid w:val="00E05E1A"/>
    <w:rsid w:val="00E12466"/>
    <w:rsid w:val="00E21140"/>
    <w:rsid w:val="00E42BF0"/>
    <w:rsid w:val="00E64F3E"/>
    <w:rsid w:val="00E709AC"/>
    <w:rsid w:val="00E71DE4"/>
    <w:rsid w:val="00E870F6"/>
    <w:rsid w:val="00E926C4"/>
    <w:rsid w:val="00EA214E"/>
    <w:rsid w:val="00EE2429"/>
    <w:rsid w:val="00F24CEF"/>
    <w:rsid w:val="00F67755"/>
    <w:rsid w:val="00F71DD6"/>
    <w:rsid w:val="00F73A22"/>
    <w:rsid w:val="00F93421"/>
    <w:rsid w:val="00F94963"/>
    <w:rsid w:val="00F9580D"/>
    <w:rsid w:val="00F97FA1"/>
    <w:rsid w:val="00FC5CDF"/>
    <w:rsid w:val="00FE2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6A"/>
    <w:pPr>
      <w:ind w:left="720"/>
      <w:contextualSpacing/>
    </w:pPr>
  </w:style>
  <w:style w:type="table" w:styleId="TableGrid">
    <w:name w:val="Table Grid"/>
    <w:basedOn w:val="TableNormal"/>
    <w:uiPriority w:val="59"/>
    <w:rsid w:val="00CA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CC4B-76AC-47F5-A4C2-A703A7D7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24</cp:revision>
  <dcterms:created xsi:type="dcterms:W3CDTF">2014-09-13T07:41:00Z</dcterms:created>
  <dcterms:modified xsi:type="dcterms:W3CDTF">2014-09-13T08:47:00Z</dcterms:modified>
</cp:coreProperties>
</file>